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6F0A" w14:textId="5483F7FB" w:rsidR="00A450BA" w:rsidRPr="003C5264" w:rsidRDefault="00D6410A" w:rsidP="00056295">
      <w:pPr>
        <w:pStyle w:val="Rubrik1"/>
        <w:rPr>
          <w:rFonts w:ascii="Garamond" w:hAnsi="Garamond"/>
        </w:rPr>
      </w:pPr>
      <w:r>
        <w:rPr>
          <w:rFonts w:ascii="Garamond" w:hAnsi="Garamond"/>
        </w:rPr>
        <w:t>Logg</w:t>
      </w:r>
      <w:r w:rsidR="004A74F2" w:rsidRPr="003C5264">
        <w:rPr>
          <w:rFonts w:ascii="Garamond" w:hAnsi="Garamond"/>
        </w:rPr>
        <w:t xml:space="preserve"> </w:t>
      </w:r>
      <w:r w:rsidR="00A450BA" w:rsidRPr="003C5264">
        <w:rPr>
          <w:rFonts w:ascii="Garamond" w:hAnsi="Garamond"/>
        </w:rPr>
        <w:t xml:space="preserve">SGU-FS </w:t>
      </w:r>
      <w:r w:rsidR="00553C78">
        <w:rPr>
          <w:rFonts w:ascii="Garamond" w:hAnsi="Garamond"/>
        </w:rPr>
        <w:t>202</w:t>
      </w:r>
      <w:r>
        <w:rPr>
          <w:rFonts w:ascii="Garamond" w:hAnsi="Garamond"/>
        </w:rPr>
        <w:t>6</w:t>
      </w:r>
      <w:r w:rsidR="00C15A12" w:rsidRPr="003C5264">
        <w:rPr>
          <w:rFonts w:ascii="Garamond" w:hAnsi="Garamond"/>
        </w:rPr>
        <w:t>:X</w:t>
      </w:r>
    </w:p>
    <w:p w14:paraId="0B992BE0" w14:textId="77777777" w:rsidR="009F5B09" w:rsidRPr="003C5264" w:rsidRDefault="009F5B09" w:rsidP="009F5B09">
      <w:pPr>
        <w:rPr>
          <w:rFonts w:ascii="Garamond" w:hAnsi="Garamond"/>
        </w:rPr>
      </w:pPr>
    </w:p>
    <w:p w14:paraId="1D9D394D" w14:textId="35782D91" w:rsidR="009F5B09" w:rsidRPr="003C5264" w:rsidRDefault="00907E2E" w:rsidP="00225ACD">
      <w:pPr>
        <w:pStyle w:val="Rubrik6"/>
        <w:ind w:right="2835"/>
        <w:jc w:val="both"/>
        <w:rPr>
          <w:rFonts w:ascii="Garamond" w:hAnsi="Garamond"/>
          <w:sz w:val="24"/>
        </w:rPr>
      </w:pPr>
      <w:r w:rsidRPr="003C5264">
        <w:rPr>
          <w:rFonts w:ascii="Garamond" w:hAnsi="Garamond"/>
          <w:sz w:val="24"/>
        </w:rPr>
        <w:t xml:space="preserve">Sveriges geologiska </w:t>
      </w:r>
      <w:r w:rsidRPr="003C5264">
        <w:rPr>
          <w:rFonts w:ascii="Garamond" w:hAnsi="Garamond"/>
          <w:sz w:val="24"/>
          <w:szCs w:val="24"/>
        </w:rPr>
        <w:t xml:space="preserve">undersöknings </w:t>
      </w:r>
      <w:r w:rsidRPr="003C5264">
        <w:rPr>
          <w:rFonts w:ascii="Garamond" w:hAnsi="Garamond"/>
          <w:sz w:val="24"/>
        </w:rPr>
        <w:t xml:space="preserve">föreskrifter om </w:t>
      </w:r>
      <w:r w:rsidR="00553C78">
        <w:rPr>
          <w:rFonts w:ascii="Garamond" w:hAnsi="Garamond"/>
          <w:sz w:val="24"/>
        </w:rPr>
        <w:t>riskhanteringsåtgärder</w:t>
      </w:r>
    </w:p>
    <w:p w14:paraId="275760ED" w14:textId="77777777" w:rsidR="005251F3" w:rsidRPr="003C5264" w:rsidRDefault="005251F3" w:rsidP="005251F3">
      <w:pPr>
        <w:rPr>
          <w:rFonts w:ascii="Garamond" w:hAnsi="Garamond"/>
        </w:rPr>
      </w:pPr>
    </w:p>
    <w:p w14:paraId="2E4D3A65" w14:textId="0D01D679" w:rsidR="005251F3" w:rsidRPr="003C5264" w:rsidRDefault="00553C78" w:rsidP="005251F3">
      <w:pPr>
        <w:rPr>
          <w:rFonts w:ascii="Garamond" w:hAnsi="Garamond"/>
        </w:rPr>
      </w:pPr>
      <w:r>
        <w:rPr>
          <w:rFonts w:ascii="Garamond" w:hAnsi="Garamond"/>
        </w:rPr>
        <w:t xml:space="preserve">Nya föreskrifter på grund av utökat bemyndigande för myndigheten. </w:t>
      </w:r>
      <w:r w:rsidR="00D6410A">
        <w:rPr>
          <w:rFonts w:ascii="Garamond" w:hAnsi="Garamond"/>
        </w:rPr>
        <w:t>F</w:t>
      </w:r>
      <w:r>
        <w:rPr>
          <w:rFonts w:ascii="Garamond" w:hAnsi="Garamond"/>
        </w:rPr>
        <w:t>örslaget saknar kapitelindelning på grund av dess begränsade omfattning.</w:t>
      </w:r>
      <w:r w:rsidR="00D650B6" w:rsidRPr="003C5264">
        <w:rPr>
          <w:rFonts w:ascii="Garamond" w:hAnsi="Garamond"/>
        </w:rPr>
        <w:t xml:space="preserve"> </w:t>
      </w:r>
    </w:p>
    <w:p w14:paraId="0DFFCC8C" w14:textId="5946D3F3" w:rsidR="00BA7015" w:rsidRPr="003C5264" w:rsidRDefault="00BA7015" w:rsidP="00056238">
      <w:pPr>
        <w:rPr>
          <w:rFonts w:ascii="Garamond" w:hAnsi="Garamond"/>
          <w:b/>
          <w:bCs/>
          <w:sz w:val="28"/>
          <w:szCs w:val="28"/>
        </w:rPr>
      </w:pPr>
    </w:p>
    <w:tbl>
      <w:tblPr>
        <w:tblStyle w:val="Tabellrutnt"/>
        <w:tblW w:w="14737" w:type="dxa"/>
        <w:tblLook w:val="04A0" w:firstRow="1" w:lastRow="0" w:firstColumn="1" w:lastColumn="0" w:noHBand="0" w:noVBand="1"/>
      </w:tblPr>
      <w:tblGrid>
        <w:gridCol w:w="1546"/>
        <w:gridCol w:w="5806"/>
        <w:gridCol w:w="7385"/>
      </w:tblGrid>
      <w:tr w:rsidR="00D6410A" w:rsidRPr="003C5264" w14:paraId="30911BF2" w14:textId="48F1AD43" w:rsidTr="008E2A0F">
        <w:trPr>
          <w:trHeight w:val="219"/>
        </w:trPr>
        <w:tc>
          <w:tcPr>
            <w:tcW w:w="1546" w:type="dxa"/>
            <w:shd w:val="clear" w:color="auto" w:fill="0070C0"/>
          </w:tcPr>
          <w:p w14:paraId="061A7C72" w14:textId="77777777" w:rsidR="00D6410A" w:rsidRPr="003C5264" w:rsidRDefault="00D6410A" w:rsidP="00056295">
            <w:pPr>
              <w:pStyle w:val="Rubrik2"/>
              <w:rPr>
                <w:rFonts w:ascii="Garamond" w:hAnsi="Garamond"/>
              </w:rPr>
            </w:pPr>
          </w:p>
        </w:tc>
        <w:tc>
          <w:tcPr>
            <w:tcW w:w="5806" w:type="dxa"/>
            <w:shd w:val="clear" w:color="auto" w:fill="0070C0"/>
          </w:tcPr>
          <w:p w14:paraId="1B65EF11" w14:textId="2786D18E" w:rsidR="00D6410A" w:rsidRPr="003C5264" w:rsidRDefault="00D6410A" w:rsidP="00056295">
            <w:pPr>
              <w:pStyle w:val="Rubrik2"/>
              <w:rPr>
                <w:rFonts w:ascii="Garamond" w:hAnsi="Garamond"/>
              </w:rPr>
            </w:pPr>
          </w:p>
        </w:tc>
        <w:tc>
          <w:tcPr>
            <w:tcW w:w="7385" w:type="dxa"/>
            <w:shd w:val="clear" w:color="auto" w:fill="0070C0"/>
          </w:tcPr>
          <w:p w14:paraId="7A90C3FE" w14:textId="6E3F0AEB" w:rsidR="00D6410A" w:rsidRPr="003C5264" w:rsidRDefault="00D6410A" w:rsidP="00056295">
            <w:pPr>
              <w:pStyle w:val="Rubrik2"/>
              <w:rPr>
                <w:rFonts w:ascii="Garamond" w:hAnsi="Garamond"/>
              </w:rPr>
            </w:pPr>
          </w:p>
        </w:tc>
      </w:tr>
      <w:tr w:rsidR="00D6410A" w:rsidRPr="003C5264" w14:paraId="47E81E87" w14:textId="77777777" w:rsidTr="008E2A0F">
        <w:trPr>
          <w:trHeight w:val="219"/>
        </w:trPr>
        <w:tc>
          <w:tcPr>
            <w:tcW w:w="1546" w:type="dxa"/>
          </w:tcPr>
          <w:p w14:paraId="517BD413" w14:textId="02A30415" w:rsidR="00D6410A" w:rsidRPr="003C5264" w:rsidRDefault="00D6410A" w:rsidP="00DF6A52">
            <w:pPr>
              <w:pStyle w:val="Rubrik3"/>
              <w:rPr>
                <w:rFonts w:ascii="Garamond" w:hAnsi="Garamond"/>
                <w:b/>
                <w:bCs/>
                <w:sz w:val="16"/>
                <w:szCs w:val="16"/>
              </w:rPr>
            </w:pPr>
            <w:r w:rsidRPr="003C5264">
              <w:rPr>
                <w:rFonts w:ascii="Garamond" w:hAnsi="Garamond"/>
                <w:b/>
                <w:bCs/>
              </w:rPr>
              <w:t>Ingress, rubrik, och paragraf</w:t>
            </w:r>
          </w:p>
        </w:tc>
        <w:tc>
          <w:tcPr>
            <w:tcW w:w="5806" w:type="dxa"/>
          </w:tcPr>
          <w:p w14:paraId="5617A7EB" w14:textId="47717790" w:rsidR="00D6410A" w:rsidRPr="003C5264" w:rsidRDefault="00D6410A" w:rsidP="00DF6A52">
            <w:pPr>
              <w:pStyle w:val="Rubrik3"/>
              <w:rPr>
                <w:rFonts w:ascii="Garamond" w:hAnsi="Garamond"/>
                <w:b/>
                <w:bCs/>
                <w:sz w:val="16"/>
                <w:szCs w:val="16"/>
              </w:rPr>
            </w:pPr>
            <w:r w:rsidRPr="003C5264">
              <w:rPr>
                <w:rFonts w:ascii="Garamond" w:hAnsi="Garamond"/>
                <w:b/>
                <w:bCs/>
              </w:rPr>
              <w:t>Förslag till ny lydelse SGU-FS 202</w:t>
            </w:r>
            <w:r>
              <w:rPr>
                <w:rFonts w:ascii="Garamond" w:hAnsi="Garamond"/>
                <w:b/>
                <w:bCs/>
              </w:rPr>
              <w:t>6</w:t>
            </w:r>
            <w:r w:rsidRPr="003C5264">
              <w:rPr>
                <w:rFonts w:ascii="Garamond" w:hAnsi="Garamond"/>
                <w:b/>
                <w:bCs/>
              </w:rPr>
              <w:t>:X</w:t>
            </w:r>
          </w:p>
        </w:tc>
        <w:tc>
          <w:tcPr>
            <w:tcW w:w="7385" w:type="dxa"/>
          </w:tcPr>
          <w:p w14:paraId="6491C965" w14:textId="3BD368F6" w:rsidR="00D6410A" w:rsidRPr="003C5264" w:rsidRDefault="00D6410A" w:rsidP="00DF6A52">
            <w:pPr>
              <w:pStyle w:val="Rubrik3"/>
              <w:rPr>
                <w:rFonts w:ascii="Garamond" w:hAnsi="Garamond"/>
                <w:b/>
                <w:bCs/>
                <w:sz w:val="16"/>
                <w:szCs w:val="16"/>
              </w:rPr>
            </w:pPr>
            <w:r w:rsidRPr="003C5264">
              <w:rPr>
                <w:rFonts w:ascii="Garamond" w:hAnsi="Garamond"/>
                <w:b/>
                <w:bCs/>
              </w:rPr>
              <w:t xml:space="preserve">Motivering till </w:t>
            </w:r>
            <w:r>
              <w:rPr>
                <w:rFonts w:ascii="Garamond" w:hAnsi="Garamond"/>
                <w:b/>
                <w:bCs/>
              </w:rPr>
              <w:t>förslag</w:t>
            </w:r>
          </w:p>
        </w:tc>
      </w:tr>
      <w:tr w:rsidR="00D6410A" w:rsidRPr="003C5264" w14:paraId="62BDFE18" w14:textId="77777777" w:rsidTr="008E2A0F">
        <w:trPr>
          <w:trHeight w:val="1539"/>
        </w:trPr>
        <w:tc>
          <w:tcPr>
            <w:tcW w:w="1546" w:type="dxa"/>
          </w:tcPr>
          <w:p w14:paraId="5ADE89C7" w14:textId="02F914F8" w:rsidR="00D6410A" w:rsidRPr="00D6410A" w:rsidRDefault="00D6410A" w:rsidP="00646D29">
            <w:pPr>
              <w:rPr>
                <w:rFonts w:ascii="Garamond" w:hAnsi="Garamond"/>
                <w:b/>
                <w:bCs/>
                <w:sz w:val="24"/>
                <w:szCs w:val="24"/>
              </w:rPr>
            </w:pPr>
            <w:r w:rsidRPr="00D6410A">
              <w:rPr>
                <w:rFonts w:ascii="Garamond" w:hAnsi="Garamond"/>
                <w:b/>
                <w:bCs/>
                <w:sz w:val="24"/>
                <w:szCs w:val="24"/>
              </w:rPr>
              <w:t>Ingress</w:t>
            </w:r>
          </w:p>
        </w:tc>
        <w:tc>
          <w:tcPr>
            <w:tcW w:w="5806" w:type="dxa"/>
          </w:tcPr>
          <w:p w14:paraId="2D57503A" w14:textId="61D77757" w:rsidR="00D6410A" w:rsidRPr="003C5264" w:rsidRDefault="00D6410A" w:rsidP="00646D29">
            <w:pPr>
              <w:rPr>
                <w:rFonts w:ascii="Garamond" w:hAnsi="Garamond"/>
                <w:sz w:val="24"/>
                <w:szCs w:val="24"/>
              </w:rPr>
            </w:pPr>
            <w:r w:rsidRPr="00D6410A">
              <w:rPr>
                <w:rFonts w:ascii="Garamond" w:hAnsi="Garamond"/>
                <w:sz w:val="24"/>
                <w:szCs w:val="24"/>
              </w:rPr>
              <w:t>Sveriges geologiska undersökning (SGU) föreskriver följande med stöd av 4 a kap. 7 §, 6 kap 10 § och 9 kap. 4 § vattenförvaltningsförordningen (2004:660).</w:t>
            </w:r>
          </w:p>
        </w:tc>
        <w:tc>
          <w:tcPr>
            <w:tcW w:w="7385" w:type="dxa"/>
          </w:tcPr>
          <w:p w14:paraId="09AD91C6" w14:textId="59D5A749" w:rsidR="00D6410A" w:rsidRPr="003C5264" w:rsidRDefault="00D6410A" w:rsidP="00646D29">
            <w:pPr>
              <w:rPr>
                <w:rFonts w:ascii="Garamond" w:hAnsi="Garamond"/>
                <w:sz w:val="24"/>
                <w:szCs w:val="24"/>
              </w:rPr>
            </w:pPr>
            <w:r>
              <w:rPr>
                <w:rFonts w:ascii="Garamond" w:hAnsi="Garamond"/>
                <w:sz w:val="24"/>
                <w:szCs w:val="24"/>
              </w:rPr>
              <w:t>Anger stöd för bemyndigande och tillämpliga direktiv redovisas i not.</w:t>
            </w:r>
          </w:p>
        </w:tc>
      </w:tr>
      <w:tr w:rsidR="00D6410A" w:rsidRPr="003C5264" w14:paraId="3A42B17E" w14:textId="77777777" w:rsidTr="008E2A0F">
        <w:trPr>
          <w:trHeight w:val="176"/>
        </w:trPr>
        <w:tc>
          <w:tcPr>
            <w:tcW w:w="1546" w:type="dxa"/>
            <w:shd w:val="clear" w:color="auto" w:fill="0070C0"/>
          </w:tcPr>
          <w:p w14:paraId="6075C665" w14:textId="0E0622D5" w:rsidR="00D6410A" w:rsidRPr="003C5264" w:rsidRDefault="00D6410A" w:rsidP="00646D29">
            <w:pPr>
              <w:rPr>
                <w:rFonts w:ascii="Garamond" w:hAnsi="Garamond"/>
                <w:b/>
                <w:bCs/>
                <w:sz w:val="24"/>
                <w:szCs w:val="24"/>
              </w:rPr>
            </w:pPr>
          </w:p>
        </w:tc>
        <w:tc>
          <w:tcPr>
            <w:tcW w:w="5806" w:type="dxa"/>
            <w:shd w:val="clear" w:color="auto" w:fill="0070C0"/>
          </w:tcPr>
          <w:p w14:paraId="064E8A17" w14:textId="77777777" w:rsidR="00D6410A" w:rsidRPr="003C5264" w:rsidRDefault="00D6410A" w:rsidP="00646D29">
            <w:pPr>
              <w:rPr>
                <w:rFonts w:ascii="Garamond" w:hAnsi="Garamond"/>
                <w:sz w:val="24"/>
                <w:szCs w:val="24"/>
              </w:rPr>
            </w:pPr>
          </w:p>
        </w:tc>
        <w:tc>
          <w:tcPr>
            <w:tcW w:w="7385" w:type="dxa"/>
            <w:shd w:val="clear" w:color="auto" w:fill="0070C0"/>
          </w:tcPr>
          <w:p w14:paraId="0E14425D" w14:textId="77777777" w:rsidR="00D6410A" w:rsidRPr="003C5264" w:rsidRDefault="00D6410A" w:rsidP="00646D29">
            <w:pPr>
              <w:rPr>
                <w:rFonts w:ascii="Garamond" w:hAnsi="Garamond"/>
                <w:sz w:val="24"/>
                <w:szCs w:val="24"/>
              </w:rPr>
            </w:pPr>
          </w:p>
        </w:tc>
      </w:tr>
      <w:tr w:rsidR="00D6410A" w:rsidRPr="003C5264" w14:paraId="6EC4FDBD" w14:textId="77777777" w:rsidTr="008E2A0F">
        <w:trPr>
          <w:trHeight w:val="332"/>
        </w:trPr>
        <w:tc>
          <w:tcPr>
            <w:tcW w:w="1546" w:type="dxa"/>
          </w:tcPr>
          <w:p w14:paraId="7BEE5FAA" w14:textId="3B27F899" w:rsidR="00D6410A" w:rsidRPr="00D6410A" w:rsidRDefault="00D6410A" w:rsidP="00646D29">
            <w:pPr>
              <w:rPr>
                <w:rFonts w:ascii="Garamond" w:hAnsi="Garamond"/>
                <w:b/>
                <w:bCs/>
                <w:sz w:val="24"/>
                <w:szCs w:val="24"/>
              </w:rPr>
            </w:pPr>
            <w:r w:rsidRPr="00D6410A">
              <w:rPr>
                <w:rFonts w:ascii="Garamond" w:hAnsi="Garamond"/>
                <w:b/>
                <w:bCs/>
                <w:sz w:val="24"/>
                <w:szCs w:val="24"/>
              </w:rPr>
              <w:t>Mellanrubrik</w:t>
            </w:r>
          </w:p>
        </w:tc>
        <w:tc>
          <w:tcPr>
            <w:tcW w:w="5806" w:type="dxa"/>
          </w:tcPr>
          <w:p w14:paraId="5B39266C" w14:textId="51176AAC" w:rsidR="00D6410A" w:rsidRPr="002F6621" w:rsidRDefault="00D6410A" w:rsidP="008D12CE">
            <w:pPr>
              <w:rPr>
                <w:rFonts w:ascii="Garamond" w:hAnsi="Garamond"/>
                <w:b/>
                <w:bCs/>
                <w:sz w:val="24"/>
                <w:szCs w:val="24"/>
              </w:rPr>
            </w:pPr>
            <w:r w:rsidRPr="002F6621">
              <w:rPr>
                <w:rFonts w:ascii="Garamond" w:hAnsi="Garamond"/>
                <w:b/>
                <w:bCs/>
                <w:sz w:val="24"/>
                <w:szCs w:val="24"/>
              </w:rPr>
              <w:t>Tillämpningsområde</w:t>
            </w:r>
          </w:p>
        </w:tc>
        <w:tc>
          <w:tcPr>
            <w:tcW w:w="7385" w:type="dxa"/>
          </w:tcPr>
          <w:p w14:paraId="3A83D667" w14:textId="77777777" w:rsidR="00D6410A" w:rsidRDefault="00D6410A" w:rsidP="00646D29">
            <w:pPr>
              <w:rPr>
                <w:rFonts w:ascii="Garamond" w:hAnsi="Garamond"/>
                <w:sz w:val="24"/>
                <w:szCs w:val="24"/>
              </w:rPr>
            </w:pPr>
          </w:p>
        </w:tc>
      </w:tr>
      <w:tr w:rsidR="00D6410A" w:rsidRPr="003C5264" w14:paraId="7E5734AB" w14:textId="77777777" w:rsidTr="008E2A0F">
        <w:trPr>
          <w:trHeight w:val="1539"/>
        </w:trPr>
        <w:tc>
          <w:tcPr>
            <w:tcW w:w="1546" w:type="dxa"/>
          </w:tcPr>
          <w:p w14:paraId="2192E79F" w14:textId="12C5DD71" w:rsidR="00D6410A" w:rsidRPr="003C5264" w:rsidRDefault="00D6410A" w:rsidP="00646D29">
            <w:pPr>
              <w:rPr>
                <w:rFonts w:ascii="Garamond" w:hAnsi="Garamond"/>
                <w:sz w:val="24"/>
                <w:szCs w:val="24"/>
              </w:rPr>
            </w:pPr>
            <w:r w:rsidRPr="003C5264">
              <w:rPr>
                <w:rFonts w:ascii="Garamond" w:hAnsi="Garamond"/>
                <w:sz w:val="24"/>
                <w:szCs w:val="24"/>
              </w:rPr>
              <w:t>1 §</w:t>
            </w:r>
          </w:p>
        </w:tc>
        <w:tc>
          <w:tcPr>
            <w:tcW w:w="5806" w:type="dxa"/>
          </w:tcPr>
          <w:p w14:paraId="0D9ABC16" w14:textId="39CB6B05" w:rsidR="00D6410A" w:rsidRPr="00553C78" w:rsidRDefault="00D6410A" w:rsidP="00646D29">
            <w:pPr>
              <w:rPr>
                <w:rFonts w:ascii="Garamond" w:hAnsi="Garamond"/>
                <w:sz w:val="24"/>
                <w:szCs w:val="24"/>
              </w:rPr>
            </w:pPr>
            <w:r w:rsidRPr="00D6410A">
              <w:rPr>
                <w:rFonts w:ascii="Garamond" w:hAnsi="Garamond"/>
                <w:sz w:val="24"/>
                <w:szCs w:val="24"/>
              </w:rPr>
              <w:t>Dessa föreskrifter ska tillämpas då vattenmyndigheten tar fram och beslutar om förslag till riskhanteringsåtgärder för grundvatten i tillrinningsområdena för uttagspunkter för dricksvatten enligt 4 a kap. 4 § vattenförvaltningsförordning (2004:660), upprättar förslag och fastställer samt redovisar åtgärdsprogram enligt 6 kap. samma förordning och lämnar de uppgifter som Havs- och vattenmyndigheten behöver för rapportering till Europeiska kommissionen enligt 9 kap. 3 § samma förordning.</w:t>
            </w:r>
          </w:p>
        </w:tc>
        <w:tc>
          <w:tcPr>
            <w:tcW w:w="7385" w:type="dxa"/>
          </w:tcPr>
          <w:p w14:paraId="042E469A" w14:textId="4BD57C67" w:rsidR="00D6410A" w:rsidRPr="003C5264" w:rsidRDefault="00D6410A" w:rsidP="00646D29">
            <w:pPr>
              <w:rPr>
                <w:rFonts w:ascii="Garamond" w:hAnsi="Garamond"/>
                <w:sz w:val="24"/>
                <w:szCs w:val="24"/>
              </w:rPr>
            </w:pPr>
            <w:r>
              <w:rPr>
                <w:rFonts w:ascii="Garamond" w:hAnsi="Garamond"/>
                <w:sz w:val="24"/>
                <w:szCs w:val="24"/>
              </w:rPr>
              <w:t>Beskriver tillämpningsområdet</w:t>
            </w:r>
          </w:p>
        </w:tc>
      </w:tr>
      <w:tr w:rsidR="00D6410A" w:rsidRPr="003C5264" w14:paraId="0A53E243" w14:textId="77777777" w:rsidTr="008E2A0F">
        <w:trPr>
          <w:trHeight w:val="196"/>
        </w:trPr>
        <w:tc>
          <w:tcPr>
            <w:tcW w:w="1546" w:type="dxa"/>
            <w:shd w:val="clear" w:color="auto" w:fill="0070C0"/>
          </w:tcPr>
          <w:p w14:paraId="222E4ABF" w14:textId="77777777" w:rsidR="00D6410A" w:rsidRPr="003C5264" w:rsidRDefault="00D6410A" w:rsidP="00646D29">
            <w:pPr>
              <w:rPr>
                <w:rFonts w:ascii="Garamond" w:hAnsi="Garamond"/>
                <w:sz w:val="24"/>
                <w:szCs w:val="24"/>
              </w:rPr>
            </w:pPr>
          </w:p>
        </w:tc>
        <w:tc>
          <w:tcPr>
            <w:tcW w:w="5806" w:type="dxa"/>
            <w:shd w:val="clear" w:color="auto" w:fill="0070C0"/>
          </w:tcPr>
          <w:p w14:paraId="5759314C" w14:textId="77777777" w:rsidR="00D6410A" w:rsidRPr="003C5264" w:rsidRDefault="00D6410A" w:rsidP="00646D29">
            <w:pPr>
              <w:rPr>
                <w:rFonts w:ascii="Garamond" w:hAnsi="Garamond"/>
                <w:sz w:val="24"/>
                <w:szCs w:val="24"/>
              </w:rPr>
            </w:pPr>
          </w:p>
        </w:tc>
        <w:tc>
          <w:tcPr>
            <w:tcW w:w="7385" w:type="dxa"/>
            <w:shd w:val="clear" w:color="auto" w:fill="0070C0"/>
          </w:tcPr>
          <w:p w14:paraId="13C51218" w14:textId="77777777" w:rsidR="00D6410A" w:rsidRPr="003C5264" w:rsidRDefault="00D6410A" w:rsidP="00646D29">
            <w:pPr>
              <w:rPr>
                <w:rFonts w:ascii="Garamond" w:hAnsi="Garamond"/>
                <w:sz w:val="24"/>
                <w:szCs w:val="24"/>
              </w:rPr>
            </w:pPr>
          </w:p>
        </w:tc>
      </w:tr>
      <w:tr w:rsidR="00D6410A" w:rsidRPr="003C5264" w14:paraId="2A2CAA45" w14:textId="77777777" w:rsidTr="008E2A0F">
        <w:trPr>
          <w:trHeight w:val="283"/>
        </w:trPr>
        <w:tc>
          <w:tcPr>
            <w:tcW w:w="1546" w:type="dxa"/>
          </w:tcPr>
          <w:p w14:paraId="4C9D47DF" w14:textId="3DAEBF0B" w:rsidR="00D6410A" w:rsidRPr="008E2A0F" w:rsidRDefault="00D6410A" w:rsidP="00646D29">
            <w:pPr>
              <w:rPr>
                <w:rFonts w:ascii="Garamond" w:hAnsi="Garamond"/>
                <w:b/>
                <w:bCs/>
                <w:sz w:val="24"/>
                <w:szCs w:val="24"/>
              </w:rPr>
            </w:pPr>
            <w:r w:rsidRPr="008E2A0F">
              <w:rPr>
                <w:rFonts w:ascii="Garamond" w:hAnsi="Garamond"/>
                <w:b/>
                <w:bCs/>
                <w:sz w:val="24"/>
                <w:szCs w:val="24"/>
              </w:rPr>
              <w:lastRenderedPageBreak/>
              <w:t>Mellanrubrik</w:t>
            </w:r>
          </w:p>
        </w:tc>
        <w:tc>
          <w:tcPr>
            <w:tcW w:w="5806" w:type="dxa"/>
          </w:tcPr>
          <w:p w14:paraId="17D6660B" w14:textId="3007E94C" w:rsidR="00D6410A" w:rsidRPr="008D12CE" w:rsidRDefault="00D6410A" w:rsidP="00646D29">
            <w:pPr>
              <w:rPr>
                <w:rFonts w:ascii="Garamond" w:hAnsi="Garamond"/>
                <w:b/>
                <w:bCs/>
                <w:color w:val="000000" w:themeColor="text1"/>
                <w:sz w:val="24"/>
                <w:szCs w:val="24"/>
              </w:rPr>
            </w:pPr>
            <w:r w:rsidRPr="008D12CE">
              <w:rPr>
                <w:rFonts w:ascii="Garamond" w:hAnsi="Garamond"/>
                <w:b/>
                <w:bCs/>
                <w:color w:val="000000" w:themeColor="text1"/>
                <w:sz w:val="24"/>
                <w:szCs w:val="24"/>
              </w:rPr>
              <w:t>Termer och uttryck</w:t>
            </w:r>
          </w:p>
        </w:tc>
        <w:tc>
          <w:tcPr>
            <w:tcW w:w="7385" w:type="dxa"/>
          </w:tcPr>
          <w:p w14:paraId="171560BB" w14:textId="77777777" w:rsidR="00D6410A" w:rsidRPr="003C5264" w:rsidRDefault="00D6410A" w:rsidP="00646D29">
            <w:pPr>
              <w:rPr>
                <w:rFonts w:ascii="Garamond" w:hAnsi="Garamond"/>
                <w:sz w:val="24"/>
                <w:szCs w:val="24"/>
              </w:rPr>
            </w:pPr>
          </w:p>
        </w:tc>
      </w:tr>
      <w:tr w:rsidR="00D6410A" w:rsidRPr="003C5264" w14:paraId="6C30EA01" w14:textId="1EBBF39E" w:rsidTr="008E2A0F">
        <w:trPr>
          <w:trHeight w:val="1539"/>
        </w:trPr>
        <w:tc>
          <w:tcPr>
            <w:tcW w:w="1546" w:type="dxa"/>
          </w:tcPr>
          <w:p w14:paraId="3E38B2CB" w14:textId="4D5DF711" w:rsidR="00D6410A" w:rsidRPr="003C5264" w:rsidRDefault="00D6410A" w:rsidP="00646D29">
            <w:pPr>
              <w:rPr>
                <w:rFonts w:ascii="Garamond" w:hAnsi="Garamond"/>
                <w:sz w:val="24"/>
                <w:szCs w:val="24"/>
              </w:rPr>
            </w:pPr>
            <w:r w:rsidRPr="003C5264">
              <w:rPr>
                <w:rFonts w:ascii="Garamond" w:hAnsi="Garamond"/>
                <w:sz w:val="24"/>
                <w:szCs w:val="24"/>
              </w:rPr>
              <w:t>2 §</w:t>
            </w:r>
          </w:p>
        </w:tc>
        <w:tc>
          <w:tcPr>
            <w:tcW w:w="5806" w:type="dxa"/>
          </w:tcPr>
          <w:p w14:paraId="2A35C770" w14:textId="429333C6" w:rsidR="00D6410A" w:rsidRPr="003C5264" w:rsidRDefault="00D6410A" w:rsidP="00646D29">
            <w:pPr>
              <w:rPr>
                <w:rFonts w:ascii="Garamond" w:hAnsi="Garamond"/>
                <w:sz w:val="24"/>
                <w:szCs w:val="24"/>
              </w:rPr>
            </w:pPr>
            <w:r w:rsidRPr="00D6410A">
              <w:rPr>
                <w:rFonts w:ascii="Garamond" w:hAnsi="Garamond"/>
                <w:color w:val="000000" w:themeColor="text1"/>
                <w:sz w:val="24"/>
                <w:szCs w:val="24"/>
              </w:rPr>
              <w:t xml:space="preserve">Termer och uttryck som används i dessa föreskrifter har samma betydelse som i vattenförvaltningsförordningen (2004:660) och som i </w:t>
            </w:r>
            <w:bookmarkStart w:id="0" w:name="_Hlk215819267"/>
            <w:r w:rsidRPr="00D6410A">
              <w:rPr>
                <w:rFonts w:ascii="Garamond" w:hAnsi="Garamond"/>
                <w:color w:val="000000" w:themeColor="text1"/>
                <w:sz w:val="24"/>
                <w:szCs w:val="24"/>
              </w:rPr>
              <w:t>SGU:s föreskrifter (SGU-FS 2023:1) om kartläggning, riskbedömning och klassificering av status för grundvatten</w:t>
            </w:r>
            <w:r>
              <w:rPr>
                <w:rFonts w:ascii="Garamond" w:hAnsi="Garamond"/>
                <w:color w:val="000000" w:themeColor="text1"/>
                <w:sz w:val="24"/>
                <w:szCs w:val="24"/>
              </w:rPr>
              <w:t xml:space="preserve"> och </w:t>
            </w:r>
            <w:r w:rsidRPr="00D6410A">
              <w:rPr>
                <w:rFonts w:ascii="Garamond" w:hAnsi="Garamond"/>
                <w:color w:val="000000" w:themeColor="text1"/>
                <w:sz w:val="24"/>
                <w:szCs w:val="24"/>
              </w:rPr>
              <w:t>SGU:s föreskrifter (SGU-FS 202</w:t>
            </w:r>
            <w:r>
              <w:rPr>
                <w:rFonts w:ascii="Garamond" w:hAnsi="Garamond"/>
                <w:color w:val="000000" w:themeColor="text1"/>
                <w:sz w:val="24"/>
                <w:szCs w:val="24"/>
              </w:rPr>
              <w:t>4</w:t>
            </w:r>
            <w:r w:rsidRPr="00D6410A">
              <w:rPr>
                <w:rFonts w:ascii="Garamond" w:hAnsi="Garamond"/>
                <w:color w:val="000000" w:themeColor="text1"/>
                <w:sz w:val="24"/>
                <w:szCs w:val="24"/>
              </w:rPr>
              <w:t>:</w:t>
            </w:r>
            <w:r w:rsidR="00BA48A7">
              <w:rPr>
                <w:rFonts w:ascii="Garamond" w:hAnsi="Garamond"/>
                <w:color w:val="000000" w:themeColor="text1"/>
                <w:sz w:val="24"/>
                <w:szCs w:val="24"/>
              </w:rPr>
              <w:t>2</w:t>
            </w:r>
            <w:r w:rsidRPr="00D6410A">
              <w:rPr>
                <w:rFonts w:ascii="Garamond" w:hAnsi="Garamond"/>
                <w:color w:val="000000" w:themeColor="text1"/>
                <w:sz w:val="24"/>
                <w:szCs w:val="24"/>
              </w:rPr>
              <w:t xml:space="preserve">) </w:t>
            </w:r>
            <w:r>
              <w:rPr>
                <w:rFonts w:ascii="Garamond" w:hAnsi="Garamond"/>
                <w:color w:val="000000" w:themeColor="text1"/>
                <w:sz w:val="24"/>
                <w:szCs w:val="24"/>
              </w:rPr>
              <w:t>om övervakning</w:t>
            </w:r>
            <w:r w:rsidRPr="00D6410A">
              <w:rPr>
                <w:rFonts w:ascii="Garamond" w:hAnsi="Garamond"/>
                <w:color w:val="000000" w:themeColor="text1"/>
                <w:sz w:val="24"/>
                <w:szCs w:val="24"/>
              </w:rPr>
              <w:t xml:space="preserve"> </w:t>
            </w:r>
            <w:bookmarkEnd w:id="0"/>
            <w:r w:rsidRPr="00D6410A">
              <w:rPr>
                <w:rFonts w:ascii="Garamond" w:hAnsi="Garamond"/>
                <w:color w:val="000000" w:themeColor="text1"/>
                <w:sz w:val="24"/>
                <w:szCs w:val="24"/>
              </w:rPr>
              <w:t>samt Europaparlamentets och rådets direktiv 2000/60/EG om upprättande av en ram för gemenskapens åtgärder på vattenpolitikens område, Europaparlamentets och rådets direktiv 2006/118/EG om skydd för grundvatten mot föroreningar och försämringar och Europaparlamentets och rådets direktiv (EU) 2020/2184 om kvaliteten på dricksvatten, i den ursprungliga lydelsen.</w:t>
            </w:r>
          </w:p>
        </w:tc>
        <w:tc>
          <w:tcPr>
            <w:tcW w:w="7385" w:type="dxa"/>
          </w:tcPr>
          <w:p w14:paraId="24054056" w14:textId="6B7C39A5" w:rsidR="00D6410A" w:rsidRPr="00D6410A" w:rsidRDefault="008E2A0F" w:rsidP="00D6410A">
            <w:pPr>
              <w:rPr>
                <w:rFonts w:ascii="Garamond" w:hAnsi="Garamond"/>
                <w:sz w:val="24"/>
                <w:szCs w:val="24"/>
              </w:rPr>
            </w:pPr>
            <w:r w:rsidRPr="00D6410A">
              <w:rPr>
                <w:rFonts w:ascii="Garamond" w:hAnsi="Garamond"/>
                <w:color w:val="000000" w:themeColor="text1"/>
                <w:sz w:val="24"/>
                <w:szCs w:val="24"/>
              </w:rPr>
              <w:t>Europaparlamentets och rådets direktiv (EU) 2020/2184 om kvaliteten på dricksvatten, i den ursprungliga lydelsen</w:t>
            </w:r>
            <w:r>
              <w:rPr>
                <w:rFonts w:ascii="Garamond" w:hAnsi="Garamond"/>
                <w:color w:val="000000" w:themeColor="text1"/>
                <w:sz w:val="24"/>
                <w:szCs w:val="24"/>
              </w:rPr>
              <w:t xml:space="preserve"> klargör att det är </w:t>
            </w:r>
            <w:r w:rsidR="00D6410A" w:rsidRPr="00D6410A">
              <w:rPr>
                <w:rFonts w:ascii="Garamond" w:hAnsi="Garamond"/>
                <w:sz w:val="24"/>
                <w:szCs w:val="24"/>
              </w:rPr>
              <w:t>den version av rättsakten som antogs från början utan senare ändringar eller omarbetningar.</w:t>
            </w:r>
            <w:r>
              <w:rPr>
                <w:rFonts w:ascii="Garamond" w:hAnsi="Garamond"/>
                <w:sz w:val="24"/>
                <w:szCs w:val="24"/>
              </w:rPr>
              <w:t xml:space="preserve"> </w:t>
            </w:r>
            <w:r w:rsidRPr="00D6410A">
              <w:rPr>
                <w:rFonts w:ascii="Garamond" w:hAnsi="Garamond"/>
                <w:sz w:val="24"/>
                <w:szCs w:val="24"/>
              </w:rPr>
              <w:t>Syftet är att undvika att nationell lag automatiskt anpassas till framtida ändringar i EU-rätten</w:t>
            </w:r>
            <w:r>
              <w:rPr>
                <w:rFonts w:ascii="Garamond" w:hAnsi="Garamond"/>
                <w:sz w:val="24"/>
                <w:szCs w:val="24"/>
              </w:rPr>
              <w:t xml:space="preserve">. </w:t>
            </w:r>
          </w:p>
          <w:p w14:paraId="2B7DB01E" w14:textId="51AD833A" w:rsidR="00D6410A" w:rsidRPr="003C5264" w:rsidRDefault="00D6410A" w:rsidP="008E2A0F">
            <w:pPr>
              <w:rPr>
                <w:rFonts w:ascii="Garamond" w:hAnsi="Garamond"/>
                <w:sz w:val="24"/>
                <w:szCs w:val="24"/>
              </w:rPr>
            </w:pPr>
          </w:p>
        </w:tc>
      </w:tr>
      <w:tr w:rsidR="00D6410A" w:rsidRPr="003C5264" w14:paraId="2BF87D94" w14:textId="0FDA3FD3" w:rsidTr="008E2A0F">
        <w:trPr>
          <w:trHeight w:val="219"/>
        </w:trPr>
        <w:tc>
          <w:tcPr>
            <w:tcW w:w="1546" w:type="dxa"/>
          </w:tcPr>
          <w:p w14:paraId="67BCB98B" w14:textId="28DC377F" w:rsidR="00D6410A" w:rsidRPr="003C5264" w:rsidRDefault="00D6410A" w:rsidP="00646D29">
            <w:pPr>
              <w:rPr>
                <w:rFonts w:ascii="Garamond" w:hAnsi="Garamond" w:cs="Times New Roman"/>
                <w:sz w:val="24"/>
                <w:szCs w:val="24"/>
              </w:rPr>
            </w:pPr>
            <w:r w:rsidRPr="003C5264">
              <w:rPr>
                <w:rFonts w:ascii="Garamond" w:hAnsi="Garamond" w:cs="Times New Roman"/>
                <w:sz w:val="24"/>
                <w:szCs w:val="24"/>
              </w:rPr>
              <w:t xml:space="preserve">3 § </w:t>
            </w:r>
          </w:p>
        </w:tc>
        <w:tc>
          <w:tcPr>
            <w:tcW w:w="5806" w:type="dxa"/>
          </w:tcPr>
          <w:p w14:paraId="6ECA44D3" w14:textId="0A96C851" w:rsidR="008E2A0F" w:rsidRPr="00A25C49" w:rsidRDefault="00A25C49" w:rsidP="008E2A0F">
            <w:pPr>
              <w:rPr>
                <w:rFonts w:ascii="Garamond" w:hAnsi="Garamond" w:cs="Times New Roman"/>
                <w:sz w:val="24"/>
                <w:szCs w:val="24"/>
              </w:rPr>
            </w:pPr>
            <w:r w:rsidRPr="00A25C49">
              <w:rPr>
                <w:rFonts w:ascii="Garamond" w:hAnsi="Garamond" w:cs="Times New Roman"/>
                <w:i/>
                <w:iCs/>
                <w:sz w:val="24"/>
                <w:szCs w:val="24"/>
              </w:rPr>
              <w:t xml:space="preserve">Förebyggande riskhanteringsåtgärd: </w:t>
            </w:r>
            <w:r w:rsidRPr="00A25C49">
              <w:rPr>
                <w:rFonts w:ascii="Garamond" w:hAnsi="Garamond" w:cs="Times New Roman"/>
                <w:sz w:val="24"/>
                <w:szCs w:val="24"/>
              </w:rPr>
              <w:t>proaktiv åtgärd som förhindra</w:t>
            </w:r>
            <w:r w:rsidR="00BA48A7">
              <w:rPr>
                <w:rFonts w:ascii="Garamond" w:hAnsi="Garamond" w:cs="Times New Roman"/>
                <w:sz w:val="24"/>
                <w:szCs w:val="24"/>
              </w:rPr>
              <w:t>r</w:t>
            </w:r>
            <w:r w:rsidRPr="00A25C49">
              <w:rPr>
                <w:rFonts w:ascii="Garamond" w:hAnsi="Garamond" w:cs="Times New Roman"/>
                <w:sz w:val="24"/>
                <w:szCs w:val="24"/>
              </w:rPr>
              <w:t xml:space="preserve"> eller motverka</w:t>
            </w:r>
            <w:r w:rsidR="00BA48A7">
              <w:rPr>
                <w:rFonts w:ascii="Garamond" w:hAnsi="Garamond" w:cs="Times New Roman"/>
                <w:sz w:val="24"/>
                <w:szCs w:val="24"/>
              </w:rPr>
              <w:t>r</w:t>
            </w:r>
            <w:r w:rsidRPr="00A25C49">
              <w:rPr>
                <w:rFonts w:ascii="Garamond" w:hAnsi="Garamond" w:cs="Times New Roman"/>
                <w:sz w:val="24"/>
                <w:szCs w:val="24"/>
              </w:rPr>
              <w:t xml:space="preserve"> att faror och farliga händelser uppstår i syfte </w:t>
            </w:r>
            <w:r w:rsidR="00BA48A7">
              <w:rPr>
                <w:rFonts w:ascii="Garamond" w:hAnsi="Garamond" w:cs="Times New Roman"/>
                <w:sz w:val="24"/>
                <w:szCs w:val="24"/>
              </w:rPr>
              <w:t xml:space="preserve">att </w:t>
            </w:r>
            <w:r w:rsidRPr="00A25C49">
              <w:rPr>
                <w:rFonts w:ascii="Garamond" w:hAnsi="Garamond" w:cs="Times New Roman"/>
                <w:sz w:val="24"/>
                <w:szCs w:val="24"/>
              </w:rPr>
              <w:t xml:space="preserve">skydda grundvattenkvaliteten i tillrinningsområdena för uttagspunkter för dricksvatten </w:t>
            </w:r>
          </w:p>
          <w:p w14:paraId="03674616" w14:textId="1E093EC1" w:rsidR="00D6410A" w:rsidRPr="00E412AD" w:rsidRDefault="00D6410A" w:rsidP="001F2A42">
            <w:pPr>
              <w:rPr>
                <w:rFonts w:ascii="Garamond" w:hAnsi="Garamond" w:cs="Times New Roman"/>
                <w:i/>
                <w:iCs/>
                <w:sz w:val="24"/>
                <w:szCs w:val="24"/>
              </w:rPr>
            </w:pPr>
          </w:p>
        </w:tc>
        <w:tc>
          <w:tcPr>
            <w:tcW w:w="7385" w:type="dxa"/>
          </w:tcPr>
          <w:p w14:paraId="3A0EAE7F" w14:textId="42F99C18" w:rsidR="00D6410A" w:rsidRDefault="008E2A0F" w:rsidP="00646D29">
            <w:pPr>
              <w:rPr>
                <w:rFonts w:ascii="Garamond" w:hAnsi="Garamond" w:cs="Times New Roman"/>
                <w:sz w:val="24"/>
                <w:szCs w:val="24"/>
              </w:rPr>
            </w:pPr>
            <w:r w:rsidRPr="00B823F5">
              <w:rPr>
                <w:rFonts w:ascii="Garamond" w:hAnsi="Garamond" w:cs="Times New Roman"/>
                <w:i/>
                <w:iCs/>
                <w:sz w:val="24"/>
                <w:szCs w:val="24"/>
              </w:rPr>
              <w:t>Förebyggande riskhanteringsåtgärd</w:t>
            </w:r>
            <w:r w:rsidR="007F2DC5">
              <w:rPr>
                <w:rFonts w:ascii="Garamond" w:hAnsi="Garamond" w:cs="Times New Roman"/>
                <w:sz w:val="24"/>
                <w:szCs w:val="24"/>
              </w:rPr>
              <w:t xml:space="preserve"> </w:t>
            </w:r>
            <w:r>
              <w:rPr>
                <w:rFonts w:ascii="Garamond" w:hAnsi="Garamond" w:cs="Times New Roman"/>
                <w:sz w:val="24"/>
                <w:szCs w:val="24"/>
              </w:rPr>
              <w:t>finns inte definierade varken i vattenförvaltningsförordningen (2004:660) eller i dricksvattendirektivet.</w:t>
            </w:r>
          </w:p>
          <w:p w14:paraId="76F7FAD0" w14:textId="77777777" w:rsidR="00A24BA2" w:rsidRDefault="00A24BA2" w:rsidP="00A24BA2">
            <w:pPr>
              <w:rPr>
                <w:rFonts w:ascii="Garamond" w:hAnsi="Garamond" w:cs="Times New Roman"/>
                <w:sz w:val="24"/>
                <w:szCs w:val="24"/>
              </w:rPr>
            </w:pPr>
          </w:p>
          <w:p w14:paraId="42133770" w14:textId="5E06CEEF" w:rsidR="00A24BA2" w:rsidRPr="00A24BA2" w:rsidRDefault="00A24BA2" w:rsidP="00A24BA2">
            <w:pPr>
              <w:rPr>
                <w:rFonts w:ascii="Garamond" w:hAnsi="Garamond" w:cs="Times New Roman"/>
                <w:sz w:val="24"/>
                <w:szCs w:val="24"/>
              </w:rPr>
            </w:pPr>
            <w:r>
              <w:rPr>
                <w:rFonts w:ascii="Garamond" w:hAnsi="Garamond" w:cs="Times New Roman"/>
                <w:sz w:val="24"/>
                <w:szCs w:val="24"/>
              </w:rPr>
              <w:t xml:space="preserve">Nu införd definition kompletterar </w:t>
            </w:r>
            <w:r w:rsidRPr="00A24BA2">
              <w:rPr>
                <w:rFonts w:ascii="Garamond" w:hAnsi="Garamond" w:cs="Times New Roman"/>
                <w:sz w:val="24"/>
                <w:szCs w:val="24"/>
              </w:rPr>
              <w:t>dricksvattendirektivet</w:t>
            </w:r>
            <w:r w:rsidR="002B2B9D">
              <w:rPr>
                <w:rFonts w:ascii="Garamond" w:hAnsi="Garamond" w:cs="Times New Roman"/>
                <w:sz w:val="24"/>
                <w:szCs w:val="24"/>
              </w:rPr>
              <w:t>s</w:t>
            </w:r>
            <w:r w:rsidRPr="00A24BA2">
              <w:rPr>
                <w:rFonts w:ascii="Garamond" w:hAnsi="Garamond" w:cs="Times New Roman"/>
                <w:sz w:val="24"/>
                <w:szCs w:val="24"/>
              </w:rPr>
              <w:t xml:space="preserve"> definitioner av fara</w:t>
            </w:r>
            <w:r w:rsidR="002B2B9D">
              <w:rPr>
                <w:rFonts w:ascii="Garamond" w:hAnsi="Garamond" w:cs="Times New Roman"/>
                <w:sz w:val="24"/>
                <w:szCs w:val="24"/>
              </w:rPr>
              <w:t xml:space="preserve"> och</w:t>
            </w:r>
            <w:r w:rsidRPr="00A24BA2">
              <w:rPr>
                <w:rFonts w:ascii="Garamond" w:hAnsi="Garamond" w:cs="Times New Roman"/>
                <w:sz w:val="24"/>
                <w:szCs w:val="24"/>
              </w:rPr>
              <w:t xml:space="preserve"> farlig händelse. </w:t>
            </w:r>
          </w:p>
          <w:p w14:paraId="414D0059" w14:textId="77777777" w:rsidR="00A24BA2" w:rsidRDefault="00A24BA2" w:rsidP="00646D29">
            <w:pPr>
              <w:rPr>
                <w:rFonts w:ascii="Garamond" w:hAnsi="Garamond" w:cs="Times New Roman"/>
                <w:sz w:val="24"/>
                <w:szCs w:val="24"/>
              </w:rPr>
            </w:pPr>
          </w:p>
          <w:p w14:paraId="461FCB0D" w14:textId="3C919E41" w:rsidR="00A25C49" w:rsidRDefault="00A25C49" w:rsidP="00646D29">
            <w:pPr>
              <w:rPr>
                <w:rFonts w:ascii="Garamond" w:hAnsi="Garamond" w:cs="Times New Roman"/>
                <w:sz w:val="24"/>
                <w:szCs w:val="24"/>
              </w:rPr>
            </w:pPr>
            <w:r w:rsidRPr="00A25C49">
              <w:rPr>
                <w:rFonts w:ascii="Garamond" w:hAnsi="Garamond" w:cs="Times New Roman"/>
                <w:i/>
                <w:iCs/>
                <w:sz w:val="24"/>
                <w:szCs w:val="24"/>
              </w:rPr>
              <w:t>Proaktiv</w:t>
            </w:r>
            <w:r>
              <w:rPr>
                <w:rFonts w:ascii="Garamond" w:hAnsi="Garamond" w:cs="Times New Roman"/>
                <w:sz w:val="24"/>
                <w:szCs w:val="24"/>
              </w:rPr>
              <w:t xml:space="preserve"> innebär att agera i förväg f</w:t>
            </w:r>
            <w:r w:rsidRPr="00A25C49">
              <w:rPr>
                <w:rFonts w:ascii="Garamond" w:hAnsi="Garamond" w:cs="Times New Roman"/>
                <w:sz w:val="24"/>
                <w:szCs w:val="24"/>
              </w:rPr>
              <w:t>ör</w:t>
            </w:r>
            <w:r>
              <w:rPr>
                <w:rFonts w:ascii="Garamond" w:hAnsi="Garamond" w:cs="Times New Roman"/>
                <w:sz w:val="24"/>
                <w:szCs w:val="24"/>
              </w:rPr>
              <w:t xml:space="preserve"> </w:t>
            </w:r>
            <w:r w:rsidRPr="00A25C49">
              <w:rPr>
                <w:rFonts w:ascii="Garamond" w:hAnsi="Garamond" w:cs="Times New Roman"/>
                <w:sz w:val="24"/>
                <w:szCs w:val="24"/>
              </w:rPr>
              <w:t>att</w:t>
            </w:r>
            <w:r>
              <w:rPr>
                <w:rFonts w:ascii="Garamond" w:hAnsi="Garamond" w:cs="Times New Roman"/>
                <w:sz w:val="24"/>
                <w:szCs w:val="24"/>
              </w:rPr>
              <w:t xml:space="preserve"> </w:t>
            </w:r>
            <w:r w:rsidRPr="00A25C49">
              <w:rPr>
                <w:rFonts w:ascii="Garamond" w:hAnsi="Garamond" w:cs="Times New Roman"/>
                <w:sz w:val="24"/>
                <w:szCs w:val="24"/>
              </w:rPr>
              <w:t>påverka</w:t>
            </w:r>
            <w:r>
              <w:rPr>
                <w:rFonts w:ascii="Garamond" w:hAnsi="Garamond" w:cs="Times New Roman"/>
                <w:sz w:val="24"/>
                <w:szCs w:val="24"/>
              </w:rPr>
              <w:t xml:space="preserve"> </w:t>
            </w:r>
            <w:r w:rsidRPr="00A25C49">
              <w:rPr>
                <w:rFonts w:ascii="Garamond" w:hAnsi="Garamond" w:cs="Times New Roman"/>
                <w:sz w:val="24"/>
                <w:szCs w:val="24"/>
              </w:rPr>
              <w:t>en</w:t>
            </w:r>
            <w:r>
              <w:rPr>
                <w:rFonts w:ascii="Garamond" w:hAnsi="Garamond" w:cs="Times New Roman"/>
                <w:sz w:val="24"/>
                <w:szCs w:val="24"/>
              </w:rPr>
              <w:t xml:space="preserve"> </w:t>
            </w:r>
            <w:r w:rsidRPr="00A25C49">
              <w:rPr>
                <w:rFonts w:ascii="Garamond" w:hAnsi="Garamond" w:cs="Times New Roman"/>
                <w:sz w:val="24"/>
                <w:szCs w:val="24"/>
              </w:rPr>
              <w:t>situation</w:t>
            </w:r>
            <w:r>
              <w:rPr>
                <w:rFonts w:ascii="Garamond" w:hAnsi="Garamond" w:cs="Times New Roman"/>
                <w:sz w:val="24"/>
                <w:szCs w:val="24"/>
              </w:rPr>
              <w:t xml:space="preserve"> </w:t>
            </w:r>
            <w:r w:rsidRPr="00A25C49">
              <w:rPr>
                <w:rFonts w:ascii="Garamond" w:hAnsi="Garamond" w:cs="Times New Roman"/>
                <w:sz w:val="24"/>
                <w:szCs w:val="24"/>
              </w:rPr>
              <w:t>snarare</w:t>
            </w:r>
            <w:r>
              <w:rPr>
                <w:rFonts w:ascii="Garamond" w:hAnsi="Garamond" w:cs="Times New Roman"/>
                <w:sz w:val="24"/>
                <w:szCs w:val="24"/>
              </w:rPr>
              <w:t xml:space="preserve"> </w:t>
            </w:r>
            <w:r w:rsidRPr="00A25C49">
              <w:rPr>
                <w:rFonts w:ascii="Garamond" w:hAnsi="Garamond" w:cs="Times New Roman"/>
                <w:sz w:val="24"/>
                <w:szCs w:val="24"/>
              </w:rPr>
              <w:t>än</w:t>
            </w:r>
            <w:r>
              <w:rPr>
                <w:rFonts w:ascii="Garamond" w:hAnsi="Garamond" w:cs="Times New Roman"/>
                <w:sz w:val="24"/>
                <w:szCs w:val="24"/>
              </w:rPr>
              <w:t xml:space="preserve"> </w:t>
            </w:r>
            <w:r w:rsidRPr="00A25C49">
              <w:rPr>
                <w:rFonts w:ascii="Garamond" w:hAnsi="Garamond" w:cs="Times New Roman"/>
                <w:sz w:val="24"/>
                <w:szCs w:val="24"/>
              </w:rPr>
              <w:t>att</w:t>
            </w:r>
            <w:r>
              <w:rPr>
                <w:rFonts w:ascii="Garamond" w:hAnsi="Garamond" w:cs="Times New Roman"/>
                <w:sz w:val="24"/>
                <w:szCs w:val="24"/>
              </w:rPr>
              <w:t xml:space="preserve"> </w:t>
            </w:r>
            <w:r w:rsidRPr="00A25C49">
              <w:rPr>
                <w:rFonts w:ascii="Garamond" w:hAnsi="Garamond" w:cs="Times New Roman"/>
                <w:sz w:val="24"/>
                <w:szCs w:val="24"/>
              </w:rPr>
              <w:t>reagera</w:t>
            </w:r>
            <w:r>
              <w:rPr>
                <w:rFonts w:ascii="Garamond" w:hAnsi="Garamond" w:cs="Times New Roman"/>
                <w:sz w:val="24"/>
                <w:szCs w:val="24"/>
              </w:rPr>
              <w:t xml:space="preserve"> </w:t>
            </w:r>
            <w:r w:rsidRPr="00A25C49">
              <w:rPr>
                <w:rFonts w:ascii="Garamond" w:hAnsi="Garamond" w:cs="Times New Roman"/>
                <w:sz w:val="24"/>
                <w:szCs w:val="24"/>
              </w:rPr>
              <w:t>på</w:t>
            </w:r>
            <w:r>
              <w:rPr>
                <w:rFonts w:ascii="Garamond" w:hAnsi="Garamond" w:cs="Times New Roman"/>
                <w:sz w:val="24"/>
                <w:szCs w:val="24"/>
              </w:rPr>
              <w:t xml:space="preserve"> </w:t>
            </w:r>
            <w:r w:rsidRPr="00A25C49">
              <w:rPr>
                <w:rFonts w:ascii="Garamond" w:hAnsi="Garamond" w:cs="Times New Roman"/>
                <w:sz w:val="24"/>
                <w:szCs w:val="24"/>
              </w:rPr>
              <w:t>den</w:t>
            </w:r>
            <w:r>
              <w:rPr>
                <w:rFonts w:ascii="Garamond" w:hAnsi="Garamond" w:cs="Times New Roman"/>
                <w:sz w:val="24"/>
                <w:szCs w:val="24"/>
              </w:rPr>
              <w:t>.</w:t>
            </w:r>
          </w:p>
          <w:p w14:paraId="08342BE1" w14:textId="77777777" w:rsidR="007F2DC5" w:rsidRDefault="007F2DC5" w:rsidP="00646D29">
            <w:pPr>
              <w:rPr>
                <w:rFonts w:ascii="Garamond" w:hAnsi="Garamond" w:cs="Times New Roman"/>
                <w:sz w:val="24"/>
                <w:szCs w:val="24"/>
              </w:rPr>
            </w:pPr>
          </w:p>
          <w:p w14:paraId="01F8CEF6" w14:textId="4A4FBB69" w:rsidR="008E2A0F" w:rsidRDefault="008E2A0F" w:rsidP="008E2A0F">
            <w:pPr>
              <w:rPr>
                <w:rFonts w:ascii="Garamond" w:hAnsi="Garamond" w:cs="Times New Roman"/>
                <w:sz w:val="24"/>
                <w:szCs w:val="24"/>
              </w:rPr>
            </w:pPr>
            <w:r w:rsidRPr="008E2A0F">
              <w:rPr>
                <w:rFonts w:ascii="Garamond" w:hAnsi="Garamond" w:cs="Times New Roman"/>
                <w:i/>
                <w:iCs/>
                <w:sz w:val="24"/>
                <w:szCs w:val="24"/>
              </w:rPr>
              <w:t>Förhindra</w:t>
            </w:r>
            <w:r w:rsidRPr="008E2A0F">
              <w:rPr>
                <w:rFonts w:ascii="Garamond" w:hAnsi="Garamond" w:cs="Times New Roman"/>
                <w:sz w:val="24"/>
                <w:szCs w:val="24"/>
              </w:rPr>
              <w:t xml:space="preserve"> betyder i syfte att </w:t>
            </w:r>
            <w:r w:rsidR="00D503DD">
              <w:rPr>
                <w:rFonts w:ascii="Garamond" w:hAnsi="Garamond" w:cs="Times New Roman"/>
                <w:sz w:val="24"/>
                <w:szCs w:val="24"/>
              </w:rPr>
              <w:t>händelse</w:t>
            </w:r>
            <w:r w:rsidRPr="008E2A0F">
              <w:rPr>
                <w:rFonts w:ascii="Garamond" w:hAnsi="Garamond" w:cs="Times New Roman"/>
                <w:sz w:val="24"/>
                <w:szCs w:val="24"/>
              </w:rPr>
              <w:t xml:space="preserve"> inte får inträffa</w:t>
            </w:r>
            <w:r>
              <w:rPr>
                <w:rFonts w:ascii="Garamond" w:hAnsi="Garamond" w:cs="Times New Roman"/>
                <w:sz w:val="24"/>
                <w:szCs w:val="24"/>
              </w:rPr>
              <w:t>.</w:t>
            </w:r>
            <w:r w:rsidR="00086DB7">
              <w:rPr>
                <w:rFonts w:ascii="Garamond" w:hAnsi="Garamond" w:cs="Times New Roman"/>
                <w:sz w:val="24"/>
                <w:szCs w:val="24"/>
              </w:rPr>
              <w:t xml:space="preserve"> </w:t>
            </w:r>
          </w:p>
          <w:p w14:paraId="2E6B8278" w14:textId="77777777" w:rsidR="008E2A0F" w:rsidRPr="008E2A0F" w:rsidRDefault="008E2A0F" w:rsidP="008E2A0F">
            <w:pPr>
              <w:rPr>
                <w:rFonts w:ascii="Garamond" w:hAnsi="Garamond" w:cs="Times New Roman"/>
                <w:sz w:val="24"/>
                <w:szCs w:val="24"/>
              </w:rPr>
            </w:pPr>
          </w:p>
          <w:p w14:paraId="41285F20" w14:textId="3CEAB209" w:rsidR="008E2A0F" w:rsidRDefault="008E2A0F" w:rsidP="008E2A0F">
            <w:pPr>
              <w:rPr>
                <w:rFonts w:ascii="Garamond" w:hAnsi="Garamond" w:cs="Times New Roman"/>
                <w:sz w:val="24"/>
                <w:szCs w:val="24"/>
              </w:rPr>
            </w:pPr>
            <w:r w:rsidRPr="008E2A0F">
              <w:rPr>
                <w:rFonts w:ascii="Garamond" w:hAnsi="Garamond" w:cs="Times New Roman"/>
                <w:i/>
                <w:iCs/>
                <w:sz w:val="24"/>
                <w:szCs w:val="24"/>
              </w:rPr>
              <w:t>Motverka</w:t>
            </w:r>
            <w:r w:rsidRPr="008E2A0F">
              <w:rPr>
                <w:rFonts w:ascii="Garamond" w:hAnsi="Garamond" w:cs="Times New Roman"/>
                <w:sz w:val="24"/>
                <w:szCs w:val="24"/>
              </w:rPr>
              <w:t xml:space="preserve"> betyder minska sannolikheten eller effekten, men kan inte garantera total eliminering </w:t>
            </w:r>
            <w:r>
              <w:rPr>
                <w:rFonts w:ascii="Garamond" w:hAnsi="Garamond" w:cs="Times New Roman"/>
                <w:sz w:val="24"/>
                <w:szCs w:val="24"/>
              </w:rPr>
              <w:t>av en fara eller farlig händelse.</w:t>
            </w:r>
            <w:r w:rsidR="00B823F5">
              <w:rPr>
                <w:rFonts w:ascii="Garamond" w:hAnsi="Garamond" w:cs="Times New Roman"/>
                <w:sz w:val="24"/>
                <w:szCs w:val="24"/>
              </w:rPr>
              <w:t xml:space="preserve"> Åtgärden ska nå </w:t>
            </w:r>
            <w:r w:rsidR="00B823F5" w:rsidRPr="007F2DC5">
              <w:rPr>
                <w:rFonts w:ascii="Garamond" w:hAnsi="Garamond" w:cs="Times New Roman"/>
                <w:sz w:val="24"/>
                <w:szCs w:val="24"/>
              </w:rPr>
              <w:t>en nivå som inte strider mot hänsynsregler i 2 kap miljöbalken och för att uppfylla kraven i 5 kap miljöbalken.</w:t>
            </w:r>
            <w:r w:rsidR="00B823F5">
              <w:rPr>
                <w:rFonts w:ascii="Garamond" w:hAnsi="Garamond" w:cs="Times New Roman"/>
                <w:sz w:val="24"/>
                <w:szCs w:val="24"/>
              </w:rPr>
              <w:t xml:space="preserve"> </w:t>
            </w:r>
            <w:r w:rsidR="00B823F5" w:rsidRPr="007F2DC5">
              <w:rPr>
                <w:rFonts w:ascii="Garamond" w:hAnsi="Garamond" w:cs="Times New Roman"/>
                <w:sz w:val="24"/>
                <w:szCs w:val="24"/>
              </w:rPr>
              <w:t>Bedömningen görs ofta utifrån skälighet, proportionalitet och kostnadseffektivitet.</w:t>
            </w:r>
          </w:p>
          <w:p w14:paraId="6EF9CC73" w14:textId="77777777" w:rsidR="00A25C49" w:rsidRDefault="00A25C49" w:rsidP="008E2A0F">
            <w:pPr>
              <w:rPr>
                <w:rFonts w:ascii="Garamond" w:hAnsi="Garamond" w:cs="Times New Roman"/>
                <w:sz w:val="24"/>
                <w:szCs w:val="24"/>
              </w:rPr>
            </w:pPr>
          </w:p>
          <w:p w14:paraId="30B34C47" w14:textId="7AA4F293" w:rsidR="00A25C49" w:rsidRPr="00A25C49" w:rsidRDefault="00A25C49" w:rsidP="008E2A0F">
            <w:pPr>
              <w:rPr>
                <w:rFonts w:ascii="Garamond" w:hAnsi="Garamond" w:cs="Times New Roman"/>
                <w:i/>
                <w:iCs/>
                <w:sz w:val="24"/>
                <w:szCs w:val="24"/>
              </w:rPr>
            </w:pPr>
            <w:r w:rsidRPr="00A25C49">
              <w:rPr>
                <w:rFonts w:ascii="Garamond" w:hAnsi="Garamond" w:cs="Times New Roman"/>
                <w:i/>
                <w:iCs/>
                <w:sz w:val="24"/>
                <w:szCs w:val="24"/>
              </w:rPr>
              <w:t>i syft</w:t>
            </w:r>
            <w:r>
              <w:rPr>
                <w:rFonts w:ascii="Garamond" w:hAnsi="Garamond" w:cs="Times New Roman"/>
                <w:i/>
                <w:iCs/>
                <w:sz w:val="24"/>
                <w:szCs w:val="24"/>
              </w:rPr>
              <w:t xml:space="preserve">e </w:t>
            </w:r>
            <w:r w:rsidRPr="00A25C49">
              <w:rPr>
                <w:rFonts w:ascii="Garamond" w:hAnsi="Garamond" w:cs="Times New Roman"/>
                <w:sz w:val="24"/>
                <w:szCs w:val="24"/>
              </w:rPr>
              <w:t>a</w:t>
            </w:r>
            <w:r>
              <w:rPr>
                <w:rFonts w:ascii="Garamond" w:hAnsi="Garamond" w:cs="Times New Roman"/>
                <w:sz w:val="24"/>
                <w:szCs w:val="24"/>
              </w:rPr>
              <w:t>n</w:t>
            </w:r>
            <w:r w:rsidRPr="00A25C49">
              <w:rPr>
                <w:rFonts w:ascii="Garamond" w:hAnsi="Garamond" w:cs="Times New Roman"/>
                <w:sz w:val="24"/>
                <w:szCs w:val="24"/>
              </w:rPr>
              <w:t>ger riskhanteringsåtgärderna ska bidra till att skydda.</w:t>
            </w:r>
          </w:p>
          <w:p w14:paraId="5FBA650D" w14:textId="77777777" w:rsidR="00B823F5" w:rsidRDefault="00B823F5" w:rsidP="008E2A0F">
            <w:pPr>
              <w:rPr>
                <w:rFonts w:ascii="Garamond" w:hAnsi="Garamond" w:cs="Times New Roman"/>
                <w:sz w:val="24"/>
                <w:szCs w:val="24"/>
              </w:rPr>
            </w:pPr>
          </w:p>
          <w:p w14:paraId="2593A7F8" w14:textId="77777777" w:rsidR="00A25C49" w:rsidRDefault="008E2A0F" w:rsidP="00A25C49">
            <w:pPr>
              <w:rPr>
                <w:rFonts w:ascii="Garamond" w:hAnsi="Garamond" w:cs="Times New Roman"/>
                <w:sz w:val="24"/>
                <w:szCs w:val="24"/>
              </w:rPr>
            </w:pPr>
            <w:r w:rsidRPr="00A25C49">
              <w:rPr>
                <w:rFonts w:ascii="Garamond" w:hAnsi="Garamond" w:cs="Times New Roman"/>
                <w:i/>
                <w:iCs/>
                <w:sz w:val="24"/>
                <w:szCs w:val="24"/>
              </w:rPr>
              <w:lastRenderedPageBreak/>
              <w:t xml:space="preserve">för att skydda </w:t>
            </w:r>
            <w:proofErr w:type="gramStart"/>
            <w:r w:rsidRPr="00A25C49">
              <w:rPr>
                <w:rFonts w:ascii="Garamond" w:hAnsi="Garamond" w:cs="Times New Roman"/>
                <w:i/>
                <w:iCs/>
                <w:sz w:val="24"/>
                <w:szCs w:val="24"/>
              </w:rPr>
              <w:t>grundvattenkvaliteten</w:t>
            </w:r>
            <w:r w:rsidR="00A25C49">
              <w:rPr>
                <w:rFonts w:ascii="Garamond" w:hAnsi="Garamond" w:cs="Times New Roman"/>
                <w:i/>
                <w:iCs/>
                <w:sz w:val="24"/>
                <w:szCs w:val="24"/>
              </w:rPr>
              <w:t xml:space="preserve"> </w:t>
            </w:r>
            <w:r w:rsidRPr="008E2A0F">
              <w:rPr>
                <w:rFonts w:ascii="Garamond" w:hAnsi="Garamond" w:cs="Times New Roman"/>
                <w:sz w:val="24"/>
                <w:szCs w:val="24"/>
              </w:rPr>
              <w:t xml:space="preserve"> </w:t>
            </w:r>
            <w:r>
              <w:rPr>
                <w:rFonts w:ascii="Garamond" w:hAnsi="Garamond" w:cs="Times New Roman"/>
                <w:sz w:val="24"/>
                <w:szCs w:val="24"/>
              </w:rPr>
              <w:t>SGU</w:t>
            </w:r>
            <w:proofErr w:type="gramEnd"/>
            <w:r>
              <w:rPr>
                <w:rFonts w:ascii="Garamond" w:hAnsi="Garamond" w:cs="Times New Roman"/>
                <w:sz w:val="24"/>
                <w:szCs w:val="24"/>
              </w:rPr>
              <w:t xml:space="preserve"> </w:t>
            </w:r>
            <w:r w:rsidRPr="008E2A0F">
              <w:rPr>
                <w:rFonts w:ascii="Garamond" w:hAnsi="Garamond" w:cs="Times New Roman"/>
                <w:sz w:val="24"/>
                <w:szCs w:val="24"/>
              </w:rPr>
              <w:t xml:space="preserve">har bara mandat </w:t>
            </w:r>
            <w:r>
              <w:rPr>
                <w:rFonts w:ascii="Garamond" w:hAnsi="Garamond" w:cs="Times New Roman"/>
                <w:sz w:val="24"/>
                <w:szCs w:val="24"/>
              </w:rPr>
              <w:t xml:space="preserve">att meddela föreskrifter </w:t>
            </w:r>
            <w:r w:rsidRPr="008E2A0F">
              <w:rPr>
                <w:rFonts w:ascii="Garamond" w:hAnsi="Garamond" w:cs="Times New Roman"/>
                <w:sz w:val="24"/>
                <w:szCs w:val="24"/>
              </w:rPr>
              <w:t>för grundvatten</w:t>
            </w:r>
            <w:r>
              <w:rPr>
                <w:rFonts w:ascii="Garamond" w:hAnsi="Garamond" w:cs="Times New Roman"/>
                <w:sz w:val="24"/>
                <w:szCs w:val="24"/>
              </w:rPr>
              <w:t xml:space="preserve"> och i tillrinningsområde för uttagspunkter för dricksvatten.</w:t>
            </w:r>
          </w:p>
          <w:p w14:paraId="76BDD872" w14:textId="77777777" w:rsidR="00A24BA2" w:rsidRDefault="00A24BA2" w:rsidP="00A25C49">
            <w:pPr>
              <w:rPr>
                <w:rFonts w:ascii="Garamond" w:hAnsi="Garamond" w:cs="Times New Roman"/>
                <w:sz w:val="24"/>
                <w:szCs w:val="24"/>
              </w:rPr>
            </w:pPr>
          </w:p>
          <w:p w14:paraId="56632052" w14:textId="691447C1" w:rsidR="00A24BA2" w:rsidRDefault="00A24BA2" w:rsidP="00A25C49">
            <w:pPr>
              <w:tabs>
                <w:tab w:val="num" w:pos="720"/>
              </w:tabs>
              <w:rPr>
                <w:rFonts w:ascii="Garamond" w:hAnsi="Garamond" w:cs="Times New Roman"/>
                <w:sz w:val="24"/>
                <w:szCs w:val="24"/>
              </w:rPr>
            </w:pPr>
            <w:r>
              <w:rPr>
                <w:rFonts w:ascii="Garamond" w:hAnsi="Garamond" w:cs="Times New Roman"/>
                <w:sz w:val="24"/>
                <w:szCs w:val="24"/>
              </w:rPr>
              <w:t xml:space="preserve">Under processen har SGU övervägt flera alternativa formuleringar </w:t>
            </w:r>
          </w:p>
          <w:p w14:paraId="0FAEFD4E" w14:textId="7DC053FE" w:rsidR="00A24BA2" w:rsidRDefault="00A25C49" w:rsidP="00A25C49">
            <w:pPr>
              <w:tabs>
                <w:tab w:val="num" w:pos="720"/>
              </w:tabs>
              <w:rPr>
                <w:rFonts w:ascii="Garamond" w:hAnsi="Garamond" w:cs="Times New Roman"/>
                <w:sz w:val="24"/>
                <w:szCs w:val="24"/>
              </w:rPr>
            </w:pPr>
            <w:r w:rsidRPr="00A24BA2">
              <w:rPr>
                <w:rFonts w:ascii="Garamond" w:hAnsi="Garamond" w:cs="Times New Roman"/>
                <w:sz w:val="24"/>
                <w:szCs w:val="24"/>
              </w:rPr>
              <w:t xml:space="preserve">såsom förebygga, </w:t>
            </w:r>
            <w:r w:rsidRPr="00A25C49">
              <w:rPr>
                <w:rFonts w:ascii="Garamond" w:hAnsi="Garamond" w:cs="Times New Roman"/>
                <w:sz w:val="24"/>
                <w:szCs w:val="24"/>
              </w:rPr>
              <w:t>vidta åtgärder innan</w:t>
            </w:r>
            <w:r w:rsidRPr="00A24BA2">
              <w:rPr>
                <w:rFonts w:ascii="Garamond" w:hAnsi="Garamond" w:cs="Times New Roman"/>
                <w:sz w:val="24"/>
                <w:szCs w:val="24"/>
              </w:rPr>
              <w:t xml:space="preserve">, </w:t>
            </w:r>
            <w:r w:rsidRPr="00A25C49">
              <w:rPr>
                <w:rFonts w:ascii="Garamond" w:hAnsi="Garamond" w:cs="Times New Roman"/>
                <w:sz w:val="24"/>
                <w:szCs w:val="24"/>
              </w:rPr>
              <w:t>på förhand reglera</w:t>
            </w:r>
            <w:r w:rsidRPr="00A24BA2">
              <w:rPr>
                <w:rFonts w:ascii="Garamond" w:hAnsi="Garamond" w:cs="Times New Roman"/>
                <w:sz w:val="24"/>
                <w:szCs w:val="24"/>
              </w:rPr>
              <w:t xml:space="preserve">, </w:t>
            </w:r>
            <w:r w:rsidRPr="00A25C49">
              <w:rPr>
                <w:rFonts w:ascii="Garamond" w:hAnsi="Garamond" w:cs="Times New Roman"/>
                <w:sz w:val="24"/>
                <w:szCs w:val="24"/>
              </w:rPr>
              <w:t>hantera i förebyggande syfte</w:t>
            </w:r>
            <w:r w:rsidRPr="00A24BA2">
              <w:rPr>
                <w:rFonts w:ascii="Garamond" w:hAnsi="Garamond" w:cs="Times New Roman"/>
                <w:sz w:val="24"/>
                <w:szCs w:val="24"/>
              </w:rPr>
              <w:t xml:space="preserve">, </w:t>
            </w:r>
            <w:r w:rsidRPr="00A25C49">
              <w:rPr>
                <w:rFonts w:ascii="Garamond" w:hAnsi="Garamond" w:cs="Times New Roman"/>
                <w:sz w:val="24"/>
                <w:szCs w:val="24"/>
              </w:rPr>
              <w:t>säkerställa inna</w:t>
            </w:r>
            <w:r w:rsidRPr="00A24BA2">
              <w:rPr>
                <w:rFonts w:ascii="Garamond" w:hAnsi="Garamond" w:cs="Times New Roman"/>
                <w:sz w:val="24"/>
                <w:szCs w:val="24"/>
              </w:rPr>
              <w:t xml:space="preserve">n, </w:t>
            </w:r>
            <w:r w:rsidRPr="00A25C49">
              <w:rPr>
                <w:rFonts w:ascii="Garamond" w:hAnsi="Garamond" w:cs="Times New Roman"/>
                <w:sz w:val="24"/>
                <w:szCs w:val="24"/>
              </w:rPr>
              <w:t>"förutse</w:t>
            </w:r>
            <w:r w:rsidR="00A24BA2">
              <w:rPr>
                <w:rFonts w:ascii="Garamond" w:hAnsi="Garamond" w:cs="Times New Roman"/>
                <w:sz w:val="24"/>
                <w:szCs w:val="24"/>
              </w:rPr>
              <w:t xml:space="preserve"> med flera.</w:t>
            </w:r>
          </w:p>
          <w:p w14:paraId="55048373" w14:textId="77777777" w:rsidR="00A24BA2" w:rsidRDefault="00A24BA2" w:rsidP="00A25C49">
            <w:pPr>
              <w:tabs>
                <w:tab w:val="num" w:pos="720"/>
              </w:tabs>
              <w:rPr>
                <w:rFonts w:ascii="Garamond" w:hAnsi="Garamond" w:cs="Times New Roman"/>
                <w:sz w:val="24"/>
                <w:szCs w:val="24"/>
              </w:rPr>
            </w:pPr>
          </w:p>
          <w:p w14:paraId="741965CA" w14:textId="5EFB9FBA" w:rsidR="00A25C49" w:rsidRPr="00A25C49" w:rsidRDefault="00A24BA2" w:rsidP="00A25C49">
            <w:pPr>
              <w:tabs>
                <w:tab w:val="num" w:pos="720"/>
              </w:tabs>
              <w:rPr>
                <w:rFonts w:ascii="Garamond" w:hAnsi="Garamond" w:cs="Times New Roman"/>
                <w:sz w:val="24"/>
                <w:szCs w:val="24"/>
              </w:rPr>
            </w:pPr>
            <w:r>
              <w:rPr>
                <w:rFonts w:ascii="Garamond" w:hAnsi="Garamond" w:cs="Times New Roman"/>
                <w:sz w:val="24"/>
                <w:szCs w:val="24"/>
              </w:rPr>
              <w:t>Vidare har SGU gått igenom närliggande rättsområde ex. arbetsmiljöområdet, SEVESO-lagstiftningen och plan- och bygglagen (2010:900), men landat ord som ligger nära språkbruket i miljöbalken.</w:t>
            </w:r>
          </w:p>
          <w:p w14:paraId="25418640" w14:textId="0D62EBF3" w:rsidR="00A25C49" w:rsidRDefault="00A25C49" w:rsidP="008E2A0F">
            <w:pPr>
              <w:rPr>
                <w:rFonts w:ascii="Garamond" w:hAnsi="Garamond" w:cs="Times New Roman"/>
                <w:sz w:val="24"/>
                <w:szCs w:val="24"/>
              </w:rPr>
            </w:pPr>
          </w:p>
          <w:p w14:paraId="2BAA78A5" w14:textId="77777777" w:rsidR="008E2A0F" w:rsidRDefault="008E2A0F" w:rsidP="008E2A0F">
            <w:pPr>
              <w:rPr>
                <w:rFonts w:ascii="Garamond" w:hAnsi="Garamond" w:cs="Times New Roman"/>
                <w:sz w:val="24"/>
                <w:szCs w:val="24"/>
              </w:rPr>
            </w:pPr>
          </w:p>
          <w:p w14:paraId="35D457AF" w14:textId="08A82196" w:rsidR="008E2A0F" w:rsidRDefault="008E2A0F" w:rsidP="008E2A0F">
            <w:pPr>
              <w:rPr>
                <w:rFonts w:ascii="Garamond" w:hAnsi="Garamond" w:cs="Times New Roman"/>
                <w:sz w:val="24"/>
                <w:szCs w:val="24"/>
              </w:rPr>
            </w:pPr>
            <w:r>
              <w:rPr>
                <w:rFonts w:ascii="Garamond" w:hAnsi="Garamond" w:cs="Times New Roman"/>
                <w:sz w:val="24"/>
                <w:szCs w:val="24"/>
              </w:rPr>
              <w:t>Rättsligt stöd:</w:t>
            </w:r>
          </w:p>
          <w:p w14:paraId="4191B29C" w14:textId="77777777" w:rsidR="008E2A0F" w:rsidRDefault="008E2A0F" w:rsidP="008E2A0F">
            <w:pPr>
              <w:rPr>
                <w:rFonts w:ascii="Garamond" w:hAnsi="Garamond" w:cs="Times New Roman"/>
                <w:sz w:val="24"/>
                <w:szCs w:val="24"/>
              </w:rPr>
            </w:pPr>
          </w:p>
          <w:p w14:paraId="32388150" w14:textId="60786312" w:rsidR="008E2A0F" w:rsidRPr="003C5264" w:rsidRDefault="008E2A0F" w:rsidP="008E2A0F">
            <w:pPr>
              <w:rPr>
                <w:rFonts w:ascii="Garamond" w:hAnsi="Garamond" w:cs="Times New Roman"/>
                <w:sz w:val="24"/>
                <w:szCs w:val="24"/>
              </w:rPr>
            </w:pPr>
            <w:r>
              <w:rPr>
                <w:rFonts w:ascii="Garamond" w:hAnsi="Garamond" w:cs="Times New Roman"/>
                <w:sz w:val="24"/>
                <w:szCs w:val="24"/>
              </w:rPr>
              <w:t xml:space="preserve">Artikel 8:4 a och 4 </w:t>
            </w:r>
            <w:r w:rsidR="0013214F">
              <w:rPr>
                <w:rFonts w:ascii="Garamond" w:hAnsi="Garamond" w:cs="Times New Roman"/>
                <w:sz w:val="24"/>
                <w:szCs w:val="24"/>
              </w:rPr>
              <w:t xml:space="preserve">a </w:t>
            </w:r>
            <w:r>
              <w:rPr>
                <w:rFonts w:ascii="Garamond" w:hAnsi="Garamond" w:cs="Times New Roman"/>
                <w:sz w:val="24"/>
                <w:szCs w:val="24"/>
              </w:rPr>
              <w:t>kap 4 § vattenförvaltningsförordningen</w:t>
            </w:r>
          </w:p>
          <w:p w14:paraId="42CF3BB9" w14:textId="01A14906" w:rsidR="00D6410A" w:rsidRPr="003C5264" w:rsidRDefault="00D6410A" w:rsidP="00646D29">
            <w:pPr>
              <w:rPr>
                <w:rFonts w:ascii="Garamond" w:hAnsi="Garamond" w:cs="Times New Roman"/>
                <w:sz w:val="24"/>
                <w:szCs w:val="24"/>
              </w:rPr>
            </w:pPr>
          </w:p>
        </w:tc>
      </w:tr>
      <w:tr w:rsidR="008E2A0F" w:rsidRPr="003C5264" w14:paraId="5F61AAA2" w14:textId="77777777" w:rsidTr="008E2A0F">
        <w:trPr>
          <w:trHeight w:val="219"/>
        </w:trPr>
        <w:tc>
          <w:tcPr>
            <w:tcW w:w="1546" w:type="dxa"/>
          </w:tcPr>
          <w:p w14:paraId="0B6F6846" w14:textId="7AE36FD0" w:rsidR="008E2A0F" w:rsidRPr="003C5264" w:rsidRDefault="008E2A0F" w:rsidP="00646D29">
            <w:pPr>
              <w:rPr>
                <w:rFonts w:ascii="Garamond" w:hAnsi="Garamond" w:cs="Times New Roman"/>
                <w:sz w:val="24"/>
                <w:szCs w:val="24"/>
              </w:rPr>
            </w:pPr>
            <w:r>
              <w:rPr>
                <w:rFonts w:ascii="Garamond" w:hAnsi="Garamond" w:cs="Times New Roman"/>
                <w:sz w:val="24"/>
                <w:szCs w:val="24"/>
              </w:rPr>
              <w:lastRenderedPageBreak/>
              <w:t>3 §</w:t>
            </w:r>
          </w:p>
        </w:tc>
        <w:tc>
          <w:tcPr>
            <w:tcW w:w="5806" w:type="dxa"/>
          </w:tcPr>
          <w:p w14:paraId="4BFFECD7" w14:textId="66D365B3" w:rsidR="008E2A0F" w:rsidRPr="008E2A0F" w:rsidRDefault="00A24BA2" w:rsidP="008E2A0F">
            <w:pPr>
              <w:rPr>
                <w:rFonts w:ascii="Garamond" w:hAnsi="Garamond" w:cs="Times New Roman"/>
                <w:i/>
                <w:iCs/>
                <w:sz w:val="24"/>
                <w:szCs w:val="24"/>
              </w:rPr>
            </w:pPr>
            <w:r w:rsidRPr="00A24BA2">
              <w:rPr>
                <w:rFonts w:ascii="Garamond" w:hAnsi="Garamond" w:cs="Times New Roman"/>
                <w:i/>
                <w:iCs/>
                <w:sz w:val="24"/>
                <w:szCs w:val="24"/>
              </w:rPr>
              <w:t xml:space="preserve">Begränsande riskhanteringsåtgärd: </w:t>
            </w:r>
            <w:r w:rsidRPr="00A24BA2">
              <w:rPr>
                <w:rFonts w:ascii="Garamond" w:hAnsi="Garamond" w:cs="Times New Roman"/>
                <w:sz w:val="24"/>
                <w:szCs w:val="24"/>
              </w:rPr>
              <w:t>avhjälpande åtgärd som undanröjer eller minskar effekterna av faror och farliga händelser i syfte att skydda grundvattenkvaliteten i tillrinningsområdena för uttagspunkter för dricksvatten</w:t>
            </w:r>
          </w:p>
        </w:tc>
        <w:tc>
          <w:tcPr>
            <w:tcW w:w="7385" w:type="dxa"/>
          </w:tcPr>
          <w:p w14:paraId="51DBE710" w14:textId="2400FC2F" w:rsidR="007F2DC5" w:rsidRDefault="007F2DC5" w:rsidP="007F2DC5">
            <w:pPr>
              <w:rPr>
                <w:rFonts w:ascii="Garamond" w:hAnsi="Garamond" w:cs="Times New Roman"/>
                <w:sz w:val="24"/>
                <w:szCs w:val="24"/>
              </w:rPr>
            </w:pPr>
            <w:r w:rsidRPr="00B823F5">
              <w:rPr>
                <w:rFonts w:ascii="Garamond" w:hAnsi="Garamond" w:cs="Times New Roman"/>
                <w:i/>
                <w:iCs/>
                <w:sz w:val="24"/>
                <w:szCs w:val="24"/>
              </w:rPr>
              <w:t>Begränsande riskhanteringsåtgärd</w:t>
            </w:r>
            <w:r>
              <w:rPr>
                <w:rFonts w:ascii="Garamond" w:hAnsi="Garamond" w:cs="Times New Roman"/>
                <w:sz w:val="24"/>
                <w:szCs w:val="24"/>
              </w:rPr>
              <w:t xml:space="preserve"> finns inte definierade varken i vattenförvaltningsförordningen (2004:660) eller i dricksvattendirektivet.</w:t>
            </w:r>
          </w:p>
          <w:p w14:paraId="1258E30A" w14:textId="77777777" w:rsidR="00A24BA2" w:rsidRDefault="00A24BA2" w:rsidP="007F2DC5">
            <w:pPr>
              <w:rPr>
                <w:rFonts w:ascii="Garamond" w:hAnsi="Garamond" w:cs="Times New Roman"/>
                <w:sz w:val="24"/>
                <w:szCs w:val="24"/>
              </w:rPr>
            </w:pPr>
          </w:p>
          <w:p w14:paraId="43683B41" w14:textId="54416E46" w:rsidR="00A24BA2" w:rsidRPr="00A24BA2" w:rsidRDefault="00A24BA2" w:rsidP="00A24BA2">
            <w:pPr>
              <w:rPr>
                <w:rFonts w:ascii="Garamond" w:hAnsi="Garamond" w:cs="Times New Roman"/>
                <w:sz w:val="24"/>
                <w:szCs w:val="24"/>
              </w:rPr>
            </w:pPr>
            <w:r>
              <w:rPr>
                <w:rFonts w:ascii="Garamond" w:hAnsi="Garamond" w:cs="Times New Roman"/>
                <w:sz w:val="24"/>
                <w:szCs w:val="24"/>
              </w:rPr>
              <w:t xml:space="preserve">Nu införd definition kompletterar </w:t>
            </w:r>
            <w:r w:rsidRPr="00A24BA2">
              <w:rPr>
                <w:rFonts w:ascii="Garamond" w:hAnsi="Garamond" w:cs="Times New Roman"/>
                <w:sz w:val="24"/>
                <w:szCs w:val="24"/>
              </w:rPr>
              <w:t>dricksvattendirektivet</w:t>
            </w:r>
            <w:r w:rsidR="002B2B9D">
              <w:rPr>
                <w:rFonts w:ascii="Garamond" w:hAnsi="Garamond" w:cs="Times New Roman"/>
                <w:sz w:val="24"/>
                <w:szCs w:val="24"/>
              </w:rPr>
              <w:t>s</w:t>
            </w:r>
            <w:r w:rsidRPr="00A24BA2">
              <w:rPr>
                <w:rFonts w:ascii="Garamond" w:hAnsi="Garamond" w:cs="Times New Roman"/>
                <w:sz w:val="24"/>
                <w:szCs w:val="24"/>
              </w:rPr>
              <w:t xml:space="preserve"> definitioner av fara</w:t>
            </w:r>
            <w:r w:rsidR="002B2B9D">
              <w:rPr>
                <w:rFonts w:ascii="Garamond" w:hAnsi="Garamond" w:cs="Times New Roman"/>
                <w:sz w:val="24"/>
                <w:szCs w:val="24"/>
              </w:rPr>
              <w:t xml:space="preserve"> och</w:t>
            </w:r>
            <w:r w:rsidRPr="00A24BA2">
              <w:rPr>
                <w:rFonts w:ascii="Garamond" w:hAnsi="Garamond" w:cs="Times New Roman"/>
                <w:sz w:val="24"/>
                <w:szCs w:val="24"/>
              </w:rPr>
              <w:t xml:space="preserve"> farlig händelse. </w:t>
            </w:r>
          </w:p>
          <w:p w14:paraId="32FDE8E2" w14:textId="77777777" w:rsidR="007F2DC5" w:rsidRDefault="007F2DC5" w:rsidP="007F2DC5">
            <w:pPr>
              <w:ind w:left="720"/>
              <w:rPr>
                <w:rFonts w:ascii="Garamond" w:hAnsi="Garamond" w:cs="Times New Roman"/>
                <w:sz w:val="24"/>
                <w:szCs w:val="24"/>
              </w:rPr>
            </w:pPr>
          </w:p>
          <w:p w14:paraId="15B861B3" w14:textId="37DC3524" w:rsidR="007F2DC5" w:rsidRPr="007F2DC5" w:rsidRDefault="007F2DC5" w:rsidP="007F2DC5">
            <w:pPr>
              <w:tabs>
                <w:tab w:val="num" w:pos="720"/>
              </w:tabs>
              <w:rPr>
                <w:rFonts w:ascii="Garamond" w:hAnsi="Garamond" w:cs="Times New Roman"/>
                <w:sz w:val="24"/>
                <w:szCs w:val="24"/>
              </w:rPr>
            </w:pPr>
            <w:r w:rsidRPr="007F2DC5">
              <w:rPr>
                <w:rFonts w:ascii="Garamond" w:hAnsi="Garamond" w:cs="Times New Roman"/>
                <w:i/>
                <w:iCs/>
                <w:sz w:val="24"/>
                <w:szCs w:val="24"/>
              </w:rPr>
              <w:t>Undanröja</w:t>
            </w:r>
            <w:r w:rsidRPr="007F2DC5">
              <w:rPr>
                <w:rFonts w:ascii="Garamond" w:hAnsi="Garamond" w:cs="Times New Roman"/>
                <w:sz w:val="24"/>
                <w:szCs w:val="24"/>
              </w:rPr>
              <w:t xml:space="preserve"> betyder eliminera och ta bort det vill säga fysiskt eller tekniskt avhjälpa en negativ miljöpåverkan. Det betyder inte en fullständig eliminering, utan att olägenheten ska minskas till en nivå som inte strider mot hänsynsregler i 2 kap miljöbalken och för att uppfylla kraven i 5 kap miljöbalken.</w:t>
            </w:r>
            <w:r w:rsidRPr="007F2DC5">
              <w:rPr>
                <w:rFonts w:ascii="Garamond" w:hAnsi="Garamond"/>
              </w:rPr>
              <w:t xml:space="preserve"> Det innebär i miljöbalkens kontext </w:t>
            </w:r>
            <w:r w:rsidRPr="007F2DC5">
              <w:rPr>
                <w:rFonts w:ascii="Garamond" w:hAnsi="Garamond" w:cs="Times New Roman"/>
                <w:sz w:val="24"/>
                <w:szCs w:val="24"/>
              </w:rPr>
              <w:t>att en verksamhet vidtar rimliga åtgärder för att begränsa skador. Bedömningen görs ofta utifrån skälighet, proportionalitet och kostnadseffektivitet.</w:t>
            </w:r>
          </w:p>
          <w:p w14:paraId="49DEA34C" w14:textId="77777777" w:rsidR="007F2DC5" w:rsidRPr="007F2DC5" w:rsidRDefault="007F2DC5" w:rsidP="007F2DC5">
            <w:pPr>
              <w:rPr>
                <w:rFonts w:ascii="Garamond" w:hAnsi="Garamond" w:cs="Times New Roman"/>
                <w:sz w:val="24"/>
                <w:szCs w:val="24"/>
              </w:rPr>
            </w:pPr>
          </w:p>
          <w:p w14:paraId="55264B7C" w14:textId="28FF9F0B" w:rsidR="007F2DC5" w:rsidRDefault="007F2DC5" w:rsidP="007F2DC5">
            <w:pPr>
              <w:tabs>
                <w:tab w:val="num" w:pos="720"/>
              </w:tabs>
              <w:rPr>
                <w:rFonts w:ascii="Garamond" w:hAnsi="Garamond" w:cs="Times New Roman"/>
                <w:sz w:val="24"/>
                <w:szCs w:val="24"/>
              </w:rPr>
            </w:pPr>
            <w:r w:rsidRPr="007F2DC5">
              <w:rPr>
                <w:rFonts w:ascii="Garamond" w:hAnsi="Garamond" w:cs="Times New Roman"/>
                <w:i/>
                <w:iCs/>
                <w:sz w:val="24"/>
                <w:szCs w:val="24"/>
              </w:rPr>
              <w:t>Minska</w:t>
            </w:r>
            <w:r w:rsidRPr="007F2DC5">
              <w:rPr>
                <w:rFonts w:ascii="Garamond" w:hAnsi="Garamond" w:cs="Times New Roman"/>
                <w:sz w:val="24"/>
                <w:szCs w:val="24"/>
              </w:rPr>
              <w:t xml:space="preserve"> betyder a</w:t>
            </w:r>
            <w:r w:rsidRPr="007F2DC5">
              <w:rPr>
                <w:rFonts w:ascii="Garamond" w:hAnsi="Garamond"/>
              </w:rPr>
              <w:t xml:space="preserve">tt reducera omfattningen eller intensiteten av en negativ miljöpåverkan, men inte nödvändigtvis till den lägsta möjliga nivån. Det innebär i </w:t>
            </w:r>
            <w:r w:rsidRPr="007F2DC5">
              <w:rPr>
                <w:rFonts w:ascii="Garamond" w:hAnsi="Garamond"/>
              </w:rPr>
              <w:lastRenderedPageBreak/>
              <w:t xml:space="preserve">miljöbalkens kontext </w:t>
            </w:r>
            <w:r w:rsidRPr="007F2DC5">
              <w:rPr>
                <w:rFonts w:ascii="Garamond" w:hAnsi="Garamond" w:cs="Times New Roman"/>
                <w:sz w:val="24"/>
                <w:szCs w:val="24"/>
              </w:rPr>
              <w:t>att en verksamhet vidtar rimliga åtgärder för att begränsa skador. Bedömningen görs ofta utifrån skälighet, proportionalitet och kostnadseffektivitet.</w:t>
            </w:r>
          </w:p>
          <w:p w14:paraId="455AA053" w14:textId="77777777" w:rsidR="00B823F5" w:rsidRDefault="00B823F5" w:rsidP="007F2DC5">
            <w:pPr>
              <w:tabs>
                <w:tab w:val="num" w:pos="720"/>
              </w:tabs>
              <w:rPr>
                <w:rFonts w:ascii="Garamond" w:hAnsi="Garamond" w:cs="Times New Roman"/>
                <w:sz w:val="24"/>
                <w:szCs w:val="24"/>
              </w:rPr>
            </w:pPr>
          </w:p>
          <w:p w14:paraId="2E3A80E4" w14:textId="6D1201B8" w:rsidR="00B823F5" w:rsidRDefault="00B823F5" w:rsidP="00B823F5">
            <w:pPr>
              <w:rPr>
                <w:rFonts w:ascii="Garamond" w:hAnsi="Garamond" w:cs="Times New Roman"/>
                <w:sz w:val="24"/>
                <w:szCs w:val="24"/>
              </w:rPr>
            </w:pPr>
            <w:r w:rsidRPr="00A24BA2">
              <w:rPr>
                <w:rFonts w:ascii="Garamond" w:hAnsi="Garamond" w:cs="Times New Roman"/>
                <w:i/>
                <w:iCs/>
                <w:sz w:val="24"/>
                <w:szCs w:val="24"/>
              </w:rPr>
              <w:t xml:space="preserve">för att skydda </w:t>
            </w:r>
            <w:proofErr w:type="gramStart"/>
            <w:r w:rsidRPr="00A24BA2">
              <w:rPr>
                <w:rFonts w:ascii="Garamond" w:hAnsi="Garamond" w:cs="Times New Roman"/>
                <w:i/>
                <w:iCs/>
                <w:sz w:val="24"/>
                <w:szCs w:val="24"/>
              </w:rPr>
              <w:t>grundvattenkvaliteten</w:t>
            </w:r>
            <w:r w:rsidR="00A24BA2">
              <w:rPr>
                <w:rFonts w:ascii="Garamond" w:hAnsi="Garamond" w:cs="Times New Roman"/>
                <w:i/>
                <w:iCs/>
                <w:sz w:val="24"/>
                <w:szCs w:val="24"/>
              </w:rPr>
              <w:t xml:space="preserve"> </w:t>
            </w:r>
            <w:r w:rsidRPr="008E2A0F">
              <w:rPr>
                <w:rFonts w:ascii="Garamond" w:hAnsi="Garamond" w:cs="Times New Roman"/>
                <w:sz w:val="24"/>
                <w:szCs w:val="24"/>
              </w:rPr>
              <w:t xml:space="preserve"> </w:t>
            </w:r>
            <w:r>
              <w:rPr>
                <w:rFonts w:ascii="Garamond" w:hAnsi="Garamond" w:cs="Times New Roman"/>
                <w:sz w:val="24"/>
                <w:szCs w:val="24"/>
              </w:rPr>
              <w:t>SGU</w:t>
            </w:r>
            <w:proofErr w:type="gramEnd"/>
            <w:r>
              <w:rPr>
                <w:rFonts w:ascii="Garamond" w:hAnsi="Garamond" w:cs="Times New Roman"/>
                <w:sz w:val="24"/>
                <w:szCs w:val="24"/>
              </w:rPr>
              <w:t xml:space="preserve"> </w:t>
            </w:r>
            <w:r w:rsidRPr="008E2A0F">
              <w:rPr>
                <w:rFonts w:ascii="Garamond" w:hAnsi="Garamond" w:cs="Times New Roman"/>
                <w:sz w:val="24"/>
                <w:szCs w:val="24"/>
              </w:rPr>
              <w:t xml:space="preserve">har bara mandat </w:t>
            </w:r>
            <w:r>
              <w:rPr>
                <w:rFonts w:ascii="Garamond" w:hAnsi="Garamond" w:cs="Times New Roman"/>
                <w:sz w:val="24"/>
                <w:szCs w:val="24"/>
              </w:rPr>
              <w:t xml:space="preserve">att meddela föreskrifter </w:t>
            </w:r>
            <w:r w:rsidRPr="008E2A0F">
              <w:rPr>
                <w:rFonts w:ascii="Garamond" w:hAnsi="Garamond" w:cs="Times New Roman"/>
                <w:sz w:val="24"/>
                <w:szCs w:val="24"/>
              </w:rPr>
              <w:t>för grundvatten</w:t>
            </w:r>
            <w:r>
              <w:rPr>
                <w:rFonts w:ascii="Garamond" w:hAnsi="Garamond" w:cs="Times New Roman"/>
                <w:sz w:val="24"/>
                <w:szCs w:val="24"/>
              </w:rPr>
              <w:t xml:space="preserve"> och i tillrinningsområde för uttagspunkter för dricksvatten.</w:t>
            </w:r>
          </w:p>
          <w:p w14:paraId="71C04C07" w14:textId="77777777" w:rsidR="00A24BA2" w:rsidRDefault="00A24BA2" w:rsidP="00B823F5">
            <w:pPr>
              <w:rPr>
                <w:rFonts w:ascii="Garamond" w:hAnsi="Garamond" w:cs="Times New Roman"/>
                <w:sz w:val="24"/>
                <w:szCs w:val="24"/>
              </w:rPr>
            </w:pPr>
          </w:p>
          <w:p w14:paraId="68D154FB" w14:textId="77777777" w:rsidR="00A24BA2" w:rsidRDefault="00A24BA2" w:rsidP="00A24BA2">
            <w:pPr>
              <w:tabs>
                <w:tab w:val="num" w:pos="720"/>
              </w:tabs>
              <w:rPr>
                <w:rFonts w:ascii="Garamond" w:hAnsi="Garamond" w:cs="Times New Roman"/>
                <w:sz w:val="24"/>
                <w:szCs w:val="24"/>
              </w:rPr>
            </w:pPr>
            <w:r>
              <w:rPr>
                <w:rFonts w:ascii="Garamond" w:hAnsi="Garamond" w:cs="Times New Roman"/>
                <w:sz w:val="24"/>
                <w:szCs w:val="24"/>
              </w:rPr>
              <w:t xml:space="preserve">Under processen har SGU övervägt flera alternativa formuleringar </w:t>
            </w:r>
          </w:p>
          <w:p w14:paraId="41B5FDDF" w14:textId="0E633460" w:rsidR="00A24BA2" w:rsidRDefault="00A24BA2" w:rsidP="00A24BA2">
            <w:pPr>
              <w:tabs>
                <w:tab w:val="num" w:pos="720"/>
              </w:tabs>
              <w:rPr>
                <w:rFonts w:ascii="Garamond" w:hAnsi="Garamond" w:cs="Times New Roman"/>
                <w:sz w:val="24"/>
                <w:szCs w:val="24"/>
              </w:rPr>
            </w:pPr>
            <w:r w:rsidRPr="00A24BA2">
              <w:rPr>
                <w:rFonts w:ascii="Garamond" w:hAnsi="Garamond" w:cs="Times New Roman"/>
                <w:sz w:val="24"/>
                <w:szCs w:val="24"/>
              </w:rPr>
              <w:t xml:space="preserve">såsom </w:t>
            </w:r>
            <w:r w:rsidR="002B2B9D">
              <w:rPr>
                <w:rFonts w:ascii="Garamond" w:hAnsi="Garamond" w:cs="Times New Roman"/>
                <w:sz w:val="24"/>
                <w:szCs w:val="24"/>
              </w:rPr>
              <w:t xml:space="preserve">minminera, hantera effekter, </w:t>
            </w:r>
            <w:r w:rsidR="002B2B9D" w:rsidRPr="002B2B9D">
              <w:rPr>
                <w:rFonts w:ascii="Garamond" w:hAnsi="Garamond" w:cs="Times New Roman"/>
                <w:sz w:val="24"/>
                <w:szCs w:val="24"/>
              </w:rPr>
              <w:t>begränsa spridning och påverkan</w:t>
            </w:r>
            <w:r w:rsidR="002B2B9D">
              <w:rPr>
                <w:rFonts w:ascii="Garamond" w:hAnsi="Garamond" w:cs="Times New Roman"/>
                <w:sz w:val="24"/>
                <w:szCs w:val="24"/>
              </w:rPr>
              <w:t xml:space="preserve"> med flera.</w:t>
            </w:r>
          </w:p>
          <w:p w14:paraId="7DD921EF" w14:textId="77777777" w:rsidR="00A24BA2" w:rsidRDefault="00A24BA2" w:rsidP="00A24BA2">
            <w:pPr>
              <w:tabs>
                <w:tab w:val="num" w:pos="720"/>
              </w:tabs>
              <w:rPr>
                <w:rFonts w:ascii="Garamond" w:hAnsi="Garamond" w:cs="Times New Roman"/>
                <w:sz w:val="24"/>
                <w:szCs w:val="24"/>
              </w:rPr>
            </w:pPr>
          </w:p>
          <w:p w14:paraId="7E7303C1" w14:textId="77777777" w:rsidR="00A24BA2" w:rsidRPr="00A25C49" w:rsidRDefault="00A24BA2" w:rsidP="00A24BA2">
            <w:pPr>
              <w:tabs>
                <w:tab w:val="num" w:pos="720"/>
              </w:tabs>
              <w:rPr>
                <w:rFonts w:ascii="Garamond" w:hAnsi="Garamond" w:cs="Times New Roman"/>
                <w:sz w:val="24"/>
                <w:szCs w:val="24"/>
              </w:rPr>
            </w:pPr>
            <w:r>
              <w:rPr>
                <w:rFonts w:ascii="Garamond" w:hAnsi="Garamond" w:cs="Times New Roman"/>
                <w:sz w:val="24"/>
                <w:szCs w:val="24"/>
              </w:rPr>
              <w:t>Vidare har SGU gått igenom närliggande rättsområde ex. arbetsmiljöområdet, SEVESO-lagstiftningen och plan- och bygglagen (2010:900), men landat ord som ligger nära språkbruket i miljöbalken.</w:t>
            </w:r>
          </w:p>
          <w:p w14:paraId="7FE755BE" w14:textId="77777777" w:rsidR="00A24BA2" w:rsidRDefault="00A24BA2" w:rsidP="00B823F5">
            <w:pPr>
              <w:rPr>
                <w:rFonts w:ascii="Garamond" w:hAnsi="Garamond" w:cs="Times New Roman"/>
                <w:sz w:val="24"/>
                <w:szCs w:val="24"/>
              </w:rPr>
            </w:pPr>
          </w:p>
          <w:p w14:paraId="6DDF6534" w14:textId="77777777" w:rsidR="00B823F5" w:rsidRPr="007F2DC5" w:rsidRDefault="00B823F5" w:rsidP="007F2DC5">
            <w:pPr>
              <w:tabs>
                <w:tab w:val="num" w:pos="720"/>
              </w:tabs>
              <w:rPr>
                <w:rFonts w:ascii="Garamond" w:hAnsi="Garamond" w:cs="Times New Roman"/>
                <w:sz w:val="24"/>
                <w:szCs w:val="24"/>
              </w:rPr>
            </w:pPr>
          </w:p>
          <w:p w14:paraId="60836E2F" w14:textId="77777777" w:rsidR="00B823F5" w:rsidRDefault="00B823F5" w:rsidP="00B823F5">
            <w:pPr>
              <w:rPr>
                <w:rFonts w:ascii="Garamond" w:hAnsi="Garamond" w:cs="Times New Roman"/>
                <w:sz w:val="24"/>
                <w:szCs w:val="24"/>
              </w:rPr>
            </w:pPr>
            <w:r>
              <w:rPr>
                <w:rFonts w:ascii="Garamond" w:hAnsi="Garamond" w:cs="Times New Roman"/>
                <w:sz w:val="24"/>
                <w:szCs w:val="24"/>
              </w:rPr>
              <w:t>Rättsligt stöd:</w:t>
            </w:r>
          </w:p>
          <w:p w14:paraId="2D26E87A" w14:textId="77777777" w:rsidR="00B823F5" w:rsidRDefault="00B823F5" w:rsidP="00B823F5">
            <w:pPr>
              <w:rPr>
                <w:rFonts w:ascii="Garamond" w:hAnsi="Garamond" w:cs="Times New Roman"/>
                <w:sz w:val="24"/>
                <w:szCs w:val="24"/>
              </w:rPr>
            </w:pPr>
          </w:p>
          <w:p w14:paraId="48B15D45" w14:textId="3D145BAB" w:rsidR="00B823F5" w:rsidRPr="003C5264" w:rsidRDefault="00B823F5" w:rsidP="00B823F5">
            <w:pPr>
              <w:rPr>
                <w:rFonts w:ascii="Garamond" w:hAnsi="Garamond" w:cs="Times New Roman"/>
                <w:sz w:val="24"/>
                <w:szCs w:val="24"/>
              </w:rPr>
            </w:pPr>
            <w:r>
              <w:rPr>
                <w:rFonts w:ascii="Garamond" w:hAnsi="Garamond" w:cs="Times New Roman"/>
                <w:sz w:val="24"/>
                <w:szCs w:val="24"/>
              </w:rPr>
              <w:t xml:space="preserve">Artikel 8:4 b och 4 </w:t>
            </w:r>
            <w:r w:rsidR="0013214F">
              <w:rPr>
                <w:rFonts w:ascii="Garamond" w:hAnsi="Garamond" w:cs="Times New Roman"/>
                <w:sz w:val="24"/>
                <w:szCs w:val="24"/>
              </w:rPr>
              <w:t xml:space="preserve">a </w:t>
            </w:r>
            <w:r>
              <w:rPr>
                <w:rFonts w:ascii="Garamond" w:hAnsi="Garamond" w:cs="Times New Roman"/>
                <w:sz w:val="24"/>
                <w:szCs w:val="24"/>
              </w:rPr>
              <w:t>kap 4 § vattenförvaltningsförordningen</w:t>
            </w:r>
          </w:p>
          <w:p w14:paraId="2E4694FF" w14:textId="383D8E08" w:rsidR="007F2DC5" w:rsidRPr="007F2DC5" w:rsidRDefault="007F2DC5" w:rsidP="007F2DC5">
            <w:pPr>
              <w:rPr>
                <w:rFonts w:ascii="Garamond" w:hAnsi="Garamond" w:cs="Times New Roman"/>
                <w:sz w:val="24"/>
                <w:szCs w:val="24"/>
              </w:rPr>
            </w:pPr>
          </w:p>
          <w:p w14:paraId="342DE2C7" w14:textId="77777777" w:rsidR="008E2A0F" w:rsidRDefault="008E2A0F" w:rsidP="00646D29">
            <w:pPr>
              <w:rPr>
                <w:rFonts w:ascii="Garamond" w:hAnsi="Garamond" w:cs="Times New Roman"/>
                <w:sz w:val="24"/>
                <w:szCs w:val="24"/>
              </w:rPr>
            </w:pPr>
          </w:p>
        </w:tc>
      </w:tr>
      <w:tr w:rsidR="00D6410A" w:rsidRPr="003C5264" w14:paraId="089D6C25" w14:textId="77777777" w:rsidTr="008E2A0F">
        <w:trPr>
          <w:trHeight w:val="219"/>
        </w:trPr>
        <w:tc>
          <w:tcPr>
            <w:tcW w:w="1546" w:type="dxa"/>
            <w:shd w:val="clear" w:color="auto" w:fill="0070C0"/>
          </w:tcPr>
          <w:p w14:paraId="0A3F422C" w14:textId="77777777" w:rsidR="00D6410A" w:rsidRPr="003C5264" w:rsidRDefault="00D6410A" w:rsidP="00646D29">
            <w:pPr>
              <w:rPr>
                <w:rFonts w:ascii="Garamond" w:hAnsi="Garamond" w:cs="Times New Roman"/>
                <w:sz w:val="24"/>
                <w:szCs w:val="24"/>
              </w:rPr>
            </w:pPr>
          </w:p>
        </w:tc>
        <w:tc>
          <w:tcPr>
            <w:tcW w:w="5806" w:type="dxa"/>
            <w:shd w:val="clear" w:color="auto" w:fill="0070C0"/>
          </w:tcPr>
          <w:p w14:paraId="4A2C229C" w14:textId="77777777" w:rsidR="00D6410A" w:rsidRPr="003C5264" w:rsidRDefault="00D6410A" w:rsidP="00646D29">
            <w:pPr>
              <w:rPr>
                <w:rFonts w:ascii="Garamond" w:hAnsi="Garamond" w:cs="Times New Roman"/>
                <w:i/>
                <w:iCs/>
                <w:sz w:val="24"/>
                <w:szCs w:val="24"/>
              </w:rPr>
            </w:pPr>
          </w:p>
        </w:tc>
        <w:tc>
          <w:tcPr>
            <w:tcW w:w="7385" w:type="dxa"/>
            <w:shd w:val="clear" w:color="auto" w:fill="0070C0"/>
          </w:tcPr>
          <w:p w14:paraId="1A389AF5" w14:textId="77777777" w:rsidR="00D6410A" w:rsidRPr="003C5264" w:rsidRDefault="00D6410A" w:rsidP="00646D29">
            <w:pPr>
              <w:rPr>
                <w:rFonts w:ascii="Garamond" w:hAnsi="Garamond" w:cs="Times New Roman"/>
                <w:sz w:val="24"/>
                <w:szCs w:val="24"/>
              </w:rPr>
            </w:pPr>
          </w:p>
        </w:tc>
      </w:tr>
      <w:tr w:rsidR="00D6410A" w:rsidRPr="003C5264" w14:paraId="0D87345D" w14:textId="77777777" w:rsidTr="008E2A0F">
        <w:trPr>
          <w:trHeight w:val="219"/>
        </w:trPr>
        <w:tc>
          <w:tcPr>
            <w:tcW w:w="1546" w:type="dxa"/>
          </w:tcPr>
          <w:p w14:paraId="5F20DAA7" w14:textId="700151DE" w:rsidR="00D6410A" w:rsidRPr="00086DB7" w:rsidRDefault="00D6410A" w:rsidP="00646D29">
            <w:pPr>
              <w:rPr>
                <w:rFonts w:ascii="Garamond" w:hAnsi="Garamond" w:cs="Times New Roman"/>
                <w:b/>
                <w:bCs/>
                <w:sz w:val="24"/>
                <w:szCs w:val="24"/>
              </w:rPr>
            </w:pPr>
            <w:r w:rsidRPr="00086DB7">
              <w:rPr>
                <w:rFonts w:ascii="Garamond" w:hAnsi="Garamond" w:cs="Times New Roman"/>
                <w:b/>
                <w:bCs/>
                <w:sz w:val="24"/>
                <w:szCs w:val="24"/>
              </w:rPr>
              <w:t>Mellanrubrik</w:t>
            </w:r>
          </w:p>
        </w:tc>
        <w:tc>
          <w:tcPr>
            <w:tcW w:w="5806" w:type="dxa"/>
          </w:tcPr>
          <w:p w14:paraId="3235907D" w14:textId="2C7995E4" w:rsidR="00D6410A" w:rsidRPr="00086DB7" w:rsidRDefault="00D6410A" w:rsidP="00301518">
            <w:pPr>
              <w:rPr>
                <w:rFonts w:ascii="Garamond" w:hAnsi="Garamond" w:cs="Times New Roman"/>
                <w:b/>
                <w:bCs/>
                <w:sz w:val="24"/>
                <w:szCs w:val="24"/>
              </w:rPr>
            </w:pPr>
            <w:r w:rsidRPr="00086DB7">
              <w:rPr>
                <w:rFonts w:ascii="Garamond" w:hAnsi="Garamond" w:cs="Times New Roman"/>
                <w:b/>
                <w:bCs/>
                <w:sz w:val="24"/>
                <w:szCs w:val="24"/>
              </w:rPr>
              <w:t>Förebyggande och begränsande riskhanteringsåtgärder</w:t>
            </w:r>
          </w:p>
        </w:tc>
        <w:tc>
          <w:tcPr>
            <w:tcW w:w="7385" w:type="dxa"/>
          </w:tcPr>
          <w:p w14:paraId="4BF4E878" w14:textId="77777777" w:rsidR="00D6410A" w:rsidRPr="003C5264" w:rsidRDefault="00D6410A" w:rsidP="00411CB9">
            <w:pPr>
              <w:rPr>
                <w:rFonts w:ascii="Garamond" w:hAnsi="Garamond" w:cs="Times New Roman"/>
                <w:sz w:val="24"/>
                <w:szCs w:val="24"/>
              </w:rPr>
            </w:pPr>
          </w:p>
        </w:tc>
      </w:tr>
      <w:tr w:rsidR="00D6410A" w:rsidRPr="003C5264" w14:paraId="38785DB6" w14:textId="77777777" w:rsidTr="008E2A0F">
        <w:trPr>
          <w:trHeight w:val="219"/>
        </w:trPr>
        <w:tc>
          <w:tcPr>
            <w:tcW w:w="1546" w:type="dxa"/>
          </w:tcPr>
          <w:p w14:paraId="4B2F50EA" w14:textId="05EF69CC" w:rsidR="00D6410A" w:rsidRPr="003C5264" w:rsidRDefault="00D6410A" w:rsidP="00646D29">
            <w:pPr>
              <w:rPr>
                <w:rFonts w:ascii="Garamond" w:hAnsi="Garamond" w:cs="Times New Roman"/>
                <w:sz w:val="24"/>
                <w:szCs w:val="24"/>
              </w:rPr>
            </w:pPr>
            <w:r>
              <w:rPr>
                <w:rFonts w:ascii="Garamond" w:hAnsi="Garamond" w:cs="Times New Roman"/>
                <w:sz w:val="24"/>
                <w:szCs w:val="24"/>
              </w:rPr>
              <w:t xml:space="preserve">4 § </w:t>
            </w:r>
          </w:p>
        </w:tc>
        <w:tc>
          <w:tcPr>
            <w:tcW w:w="5806" w:type="dxa"/>
          </w:tcPr>
          <w:p w14:paraId="3FA0DBD5" w14:textId="558F7695" w:rsidR="00D6410A" w:rsidRPr="0037302C" w:rsidRDefault="0037302C" w:rsidP="00301518">
            <w:pPr>
              <w:rPr>
                <w:rFonts w:ascii="Garamond" w:hAnsi="Garamond" w:cs="Times New Roman"/>
                <w:sz w:val="24"/>
                <w:szCs w:val="24"/>
              </w:rPr>
            </w:pPr>
            <w:r w:rsidRPr="0037302C">
              <w:rPr>
                <w:rFonts w:ascii="Garamond" w:hAnsi="Garamond" w:cs="Times New Roman"/>
                <w:sz w:val="24"/>
                <w:szCs w:val="24"/>
              </w:rPr>
              <w:t xml:space="preserve">Vattenmyndigheten ska i varje förvaltningscykel ta fram och besluta om förslag till förebyggande och begränsande riskhanteringsåtgärder för de tillrinningsområden till uttagspunkter för dricksvatten där det vid riskbedömning enligt 3 kap. SGU:s föreskrifter (SGU-FS 2023:1) om kartläggning, riskbedömning och klassificering av status har identifierats faror eller farliga händelser som kan innebära </w:t>
            </w:r>
            <w:r w:rsidRPr="0037302C">
              <w:rPr>
                <w:rFonts w:ascii="Garamond" w:hAnsi="Garamond" w:cs="Times New Roman"/>
                <w:sz w:val="24"/>
                <w:szCs w:val="24"/>
              </w:rPr>
              <w:lastRenderedPageBreak/>
              <w:t>risk för människors hälsa vid användning av dricksvatten. I första hand ska förebyggande åtgärder vidtas.</w:t>
            </w:r>
          </w:p>
        </w:tc>
        <w:tc>
          <w:tcPr>
            <w:tcW w:w="7385" w:type="dxa"/>
          </w:tcPr>
          <w:p w14:paraId="78699AAE" w14:textId="2106E34F" w:rsidR="0037302C" w:rsidRDefault="0037302C" w:rsidP="00411CB9">
            <w:pPr>
              <w:rPr>
                <w:rFonts w:ascii="Garamond" w:hAnsi="Garamond" w:cs="Times New Roman"/>
                <w:sz w:val="24"/>
                <w:szCs w:val="24"/>
              </w:rPr>
            </w:pPr>
            <w:r w:rsidRPr="0037302C">
              <w:rPr>
                <w:rFonts w:ascii="Garamond" w:hAnsi="Garamond" w:cs="Times New Roman"/>
                <w:sz w:val="24"/>
                <w:szCs w:val="24"/>
              </w:rPr>
              <w:lastRenderedPageBreak/>
              <w:t>Framtagande av förebyggande och begränsande riskhanteringsåtgärder ska ske två steg</w:t>
            </w:r>
            <w:r w:rsidR="00D503DD">
              <w:rPr>
                <w:rFonts w:ascii="Garamond" w:hAnsi="Garamond" w:cs="Times New Roman"/>
                <w:sz w:val="24"/>
                <w:szCs w:val="24"/>
              </w:rPr>
              <w:t>, där steg 1 regleras i 4 §</w:t>
            </w:r>
            <w:r w:rsidRPr="0037302C">
              <w:rPr>
                <w:rFonts w:ascii="Garamond" w:hAnsi="Garamond" w:cs="Times New Roman"/>
                <w:sz w:val="24"/>
                <w:szCs w:val="24"/>
              </w:rPr>
              <w:t xml:space="preserve">. I det första steget ska </w:t>
            </w:r>
            <w:r w:rsidR="00D503DD">
              <w:rPr>
                <w:rFonts w:ascii="Garamond" w:hAnsi="Garamond" w:cs="Times New Roman"/>
                <w:sz w:val="24"/>
                <w:szCs w:val="24"/>
              </w:rPr>
              <w:t>samtliga</w:t>
            </w:r>
            <w:r w:rsidRPr="0037302C">
              <w:rPr>
                <w:rFonts w:ascii="Garamond" w:hAnsi="Garamond" w:cs="Times New Roman"/>
                <w:sz w:val="24"/>
                <w:szCs w:val="24"/>
              </w:rPr>
              <w:t xml:space="preserve"> riskhanteringsåtgärder för att skydda grundvattenkvaliteten i tillrinningsområdena för uttagspunkter för dricksvattenåtgärder tas fram av vattenmyndigheten. Vattenmyndigheten ska också besluta om förslag. Riskhanteringsåtgärderna ska kopplas till </w:t>
            </w:r>
            <w:r w:rsidR="00D503DD">
              <w:rPr>
                <w:rFonts w:ascii="Garamond" w:hAnsi="Garamond" w:cs="Times New Roman"/>
                <w:sz w:val="24"/>
                <w:szCs w:val="24"/>
              </w:rPr>
              <w:t xml:space="preserve">ett specifikt </w:t>
            </w:r>
            <w:r w:rsidRPr="0037302C">
              <w:rPr>
                <w:rFonts w:ascii="Garamond" w:hAnsi="Garamond" w:cs="Times New Roman"/>
                <w:sz w:val="24"/>
                <w:szCs w:val="24"/>
              </w:rPr>
              <w:t>tillrinningsområde, vilket innebär att åtgärderna får ett lokalt och regionalt geografisk</w:t>
            </w:r>
            <w:r>
              <w:rPr>
                <w:rFonts w:ascii="Garamond" w:hAnsi="Garamond" w:cs="Times New Roman"/>
                <w:sz w:val="24"/>
                <w:szCs w:val="24"/>
              </w:rPr>
              <w:t>t</w:t>
            </w:r>
            <w:r w:rsidRPr="0037302C">
              <w:rPr>
                <w:rFonts w:ascii="Garamond" w:hAnsi="Garamond" w:cs="Times New Roman"/>
                <w:sz w:val="24"/>
                <w:szCs w:val="24"/>
              </w:rPr>
              <w:t xml:space="preserve"> samband.</w:t>
            </w:r>
            <w:r>
              <w:rPr>
                <w:rFonts w:ascii="Garamond" w:hAnsi="Garamond" w:cs="Times New Roman"/>
                <w:sz w:val="24"/>
                <w:szCs w:val="24"/>
              </w:rPr>
              <w:t xml:space="preserve"> </w:t>
            </w:r>
          </w:p>
          <w:p w14:paraId="2E4C2A48" w14:textId="77777777" w:rsidR="0037302C" w:rsidRDefault="0037302C" w:rsidP="00411CB9">
            <w:pPr>
              <w:rPr>
                <w:rFonts w:ascii="Garamond" w:hAnsi="Garamond" w:cs="Times New Roman"/>
                <w:sz w:val="24"/>
                <w:szCs w:val="24"/>
              </w:rPr>
            </w:pPr>
          </w:p>
          <w:p w14:paraId="0C7D7760" w14:textId="77777777" w:rsidR="0013214F" w:rsidRDefault="0037302C" w:rsidP="00411CB9">
            <w:pPr>
              <w:rPr>
                <w:rFonts w:ascii="Garamond" w:hAnsi="Garamond" w:cs="Times New Roman"/>
                <w:sz w:val="24"/>
                <w:szCs w:val="24"/>
              </w:rPr>
            </w:pPr>
            <w:r>
              <w:rPr>
                <w:rFonts w:ascii="Garamond" w:hAnsi="Garamond" w:cs="Times New Roman"/>
                <w:sz w:val="24"/>
                <w:szCs w:val="24"/>
              </w:rPr>
              <w:lastRenderedPageBreak/>
              <w:t xml:space="preserve">I första hand ska förebyggande riskhanteringsåtgärder vidtas. </w:t>
            </w:r>
          </w:p>
          <w:p w14:paraId="30ACC5B7" w14:textId="77777777" w:rsidR="0013214F" w:rsidRDefault="0013214F" w:rsidP="00411CB9">
            <w:pPr>
              <w:rPr>
                <w:rFonts w:ascii="Garamond" w:hAnsi="Garamond" w:cs="Times New Roman"/>
                <w:sz w:val="24"/>
                <w:szCs w:val="24"/>
              </w:rPr>
            </w:pPr>
          </w:p>
          <w:p w14:paraId="7C80DE97" w14:textId="7B40640A" w:rsidR="00D503DD" w:rsidRDefault="0037302C" w:rsidP="00411CB9">
            <w:pPr>
              <w:rPr>
                <w:rFonts w:ascii="Garamond" w:hAnsi="Garamond" w:cs="Times New Roman"/>
                <w:sz w:val="24"/>
                <w:szCs w:val="24"/>
              </w:rPr>
            </w:pPr>
            <w:r>
              <w:rPr>
                <w:rFonts w:ascii="Garamond" w:hAnsi="Garamond" w:cs="Times New Roman"/>
                <w:sz w:val="24"/>
                <w:szCs w:val="24"/>
              </w:rPr>
              <w:t>I detta steg pekas inte någon ansvarig myndighet eller kommun ut för respektive riskhanteringsåtgärd.</w:t>
            </w:r>
          </w:p>
          <w:p w14:paraId="1989B194" w14:textId="77777777" w:rsidR="0037302C" w:rsidRDefault="0037302C" w:rsidP="00411CB9">
            <w:pPr>
              <w:rPr>
                <w:rFonts w:ascii="Garamond" w:hAnsi="Garamond" w:cs="Times New Roman"/>
                <w:sz w:val="24"/>
                <w:szCs w:val="24"/>
              </w:rPr>
            </w:pPr>
          </w:p>
          <w:p w14:paraId="22796CA1" w14:textId="77777777" w:rsidR="0037302C" w:rsidRDefault="0037302C" w:rsidP="00411CB9">
            <w:pPr>
              <w:rPr>
                <w:rFonts w:ascii="Garamond" w:hAnsi="Garamond" w:cs="Times New Roman"/>
                <w:sz w:val="24"/>
                <w:szCs w:val="24"/>
              </w:rPr>
            </w:pPr>
            <w:r>
              <w:rPr>
                <w:rFonts w:ascii="Garamond" w:hAnsi="Garamond" w:cs="Times New Roman"/>
                <w:sz w:val="24"/>
                <w:szCs w:val="24"/>
              </w:rPr>
              <w:t>Det ska genomföras vid varje förvaltningscykel.</w:t>
            </w:r>
          </w:p>
          <w:p w14:paraId="009C76B4" w14:textId="77777777" w:rsidR="00D503DD" w:rsidRDefault="00D503DD" w:rsidP="00411CB9">
            <w:pPr>
              <w:rPr>
                <w:rFonts w:ascii="Garamond" w:hAnsi="Garamond" w:cs="Times New Roman"/>
                <w:sz w:val="24"/>
                <w:szCs w:val="24"/>
              </w:rPr>
            </w:pPr>
          </w:p>
          <w:p w14:paraId="6535AB63" w14:textId="58A952EC" w:rsidR="00D503DD" w:rsidRDefault="00D503DD" w:rsidP="00411CB9">
            <w:pPr>
              <w:rPr>
                <w:rFonts w:ascii="Garamond" w:hAnsi="Garamond" w:cs="Times New Roman"/>
                <w:sz w:val="24"/>
                <w:szCs w:val="24"/>
              </w:rPr>
            </w:pPr>
            <w:r>
              <w:rPr>
                <w:rFonts w:ascii="Garamond" w:hAnsi="Garamond" w:cs="Times New Roman"/>
                <w:sz w:val="24"/>
                <w:szCs w:val="24"/>
              </w:rPr>
              <w:t>Paragrafen omfattar inte de systemövergripande åtgärder, såsom samverkan med mera.</w:t>
            </w:r>
          </w:p>
          <w:p w14:paraId="410174CF" w14:textId="77777777" w:rsidR="0013214F" w:rsidRDefault="0013214F" w:rsidP="00411CB9">
            <w:pPr>
              <w:rPr>
                <w:rFonts w:ascii="Garamond" w:hAnsi="Garamond" w:cs="Times New Roman"/>
                <w:sz w:val="24"/>
                <w:szCs w:val="24"/>
              </w:rPr>
            </w:pPr>
          </w:p>
          <w:p w14:paraId="277895F1" w14:textId="1F01F2FD" w:rsidR="0013214F" w:rsidRDefault="0013214F" w:rsidP="00411CB9">
            <w:pPr>
              <w:rPr>
                <w:rFonts w:ascii="Garamond" w:hAnsi="Garamond" w:cs="Times New Roman"/>
                <w:sz w:val="24"/>
                <w:szCs w:val="24"/>
              </w:rPr>
            </w:pPr>
            <w:r>
              <w:rPr>
                <w:rFonts w:ascii="Garamond" w:hAnsi="Garamond" w:cs="Times New Roman"/>
                <w:sz w:val="24"/>
                <w:szCs w:val="24"/>
              </w:rPr>
              <w:t>Rättsligt stöd:</w:t>
            </w:r>
          </w:p>
          <w:p w14:paraId="2D538D47" w14:textId="77777777" w:rsidR="00971147" w:rsidRDefault="00971147" w:rsidP="00411CB9">
            <w:pPr>
              <w:rPr>
                <w:rFonts w:ascii="Garamond" w:hAnsi="Garamond" w:cs="Times New Roman"/>
                <w:sz w:val="24"/>
                <w:szCs w:val="24"/>
              </w:rPr>
            </w:pPr>
          </w:p>
          <w:p w14:paraId="64B25BC4" w14:textId="30CF1223" w:rsidR="00971147" w:rsidRDefault="00971147" w:rsidP="00411CB9">
            <w:pPr>
              <w:rPr>
                <w:rFonts w:ascii="Garamond" w:hAnsi="Garamond" w:cs="Times New Roman"/>
                <w:sz w:val="24"/>
                <w:szCs w:val="24"/>
              </w:rPr>
            </w:pPr>
            <w:r>
              <w:rPr>
                <w:rFonts w:ascii="Garamond" w:hAnsi="Garamond" w:cs="Times New Roman"/>
                <w:sz w:val="24"/>
                <w:szCs w:val="24"/>
              </w:rPr>
              <w:t xml:space="preserve">Artikel 8:4 och 4 </w:t>
            </w:r>
            <w:r w:rsidR="0013214F">
              <w:rPr>
                <w:rFonts w:ascii="Garamond" w:hAnsi="Garamond" w:cs="Times New Roman"/>
                <w:sz w:val="24"/>
                <w:szCs w:val="24"/>
              </w:rPr>
              <w:t xml:space="preserve">a </w:t>
            </w:r>
            <w:r>
              <w:rPr>
                <w:rFonts w:ascii="Garamond" w:hAnsi="Garamond" w:cs="Times New Roman"/>
                <w:sz w:val="24"/>
                <w:szCs w:val="24"/>
              </w:rPr>
              <w:t>kap 4 § vattenförvaltningsförordningen</w:t>
            </w:r>
          </w:p>
          <w:p w14:paraId="3DC4910D" w14:textId="77777777" w:rsidR="0037302C" w:rsidRDefault="0037302C" w:rsidP="00411CB9">
            <w:pPr>
              <w:rPr>
                <w:rFonts w:ascii="Garamond" w:hAnsi="Garamond" w:cs="Times New Roman"/>
                <w:sz w:val="24"/>
                <w:szCs w:val="24"/>
              </w:rPr>
            </w:pPr>
          </w:p>
          <w:p w14:paraId="191E3F8A" w14:textId="6F3E9A35" w:rsidR="0037302C" w:rsidRPr="003C5264" w:rsidRDefault="0037302C" w:rsidP="00411CB9">
            <w:pPr>
              <w:rPr>
                <w:rFonts w:ascii="Garamond" w:hAnsi="Garamond" w:cs="Times New Roman"/>
                <w:sz w:val="24"/>
                <w:szCs w:val="24"/>
              </w:rPr>
            </w:pPr>
          </w:p>
        </w:tc>
      </w:tr>
      <w:tr w:rsidR="00D6410A" w:rsidRPr="003C5264" w14:paraId="1F769470" w14:textId="77777777" w:rsidTr="008E2A0F">
        <w:trPr>
          <w:trHeight w:val="219"/>
        </w:trPr>
        <w:tc>
          <w:tcPr>
            <w:tcW w:w="1546" w:type="dxa"/>
          </w:tcPr>
          <w:p w14:paraId="74679A7C" w14:textId="54B27DA2" w:rsidR="00D6410A" w:rsidRPr="003C5264" w:rsidRDefault="00D6410A" w:rsidP="00646D29">
            <w:pPr>
              <w:rPr>
                <w:rFonts w:ascii="Garamond" w:hAnsi="Garamond" w:cs="Times New Roman"/>
                <w:sz w:val="24"/>
                <w:szCs w:val="24"/>
              </w:rPr>
            </w:pPr>
            <w:r>
              <w:rPr>
                <w:rFonts w:ascii="Garamond" w:hAnsi="Garamond" w:cs="Times New Roman"/>
                <w:sz w:val="24"/>
                <w:szCs w:val="24"/>
              </w:rPr>
              <w:lastRenderedPageBreak/>
              <w:t>5 §</w:t>
            </w:r>
          </w:p>
        </w:tc>
        <w:tc>
          <w:tcPr>
            <w:tcW w:w="5806" w:type="dxa"/>
          </w:tcPr>
          <w:p w14:paraId="6E4CED45" w14:textId="2B824DCA" w:rsidR="00D6410A" w:rsidRPr="0037302C" w:rsidRDefault="0037302C" w:rsidP="008D7FE4">
            <w:pPr>
              <w:rPr>
                <w:rFonts w:ascii="Garamond" w:hAnsi="Garamond" w:cs="Times New Roman"/>
                <w:sz w:val="24"/>
                <w:szCs w:val="24"/>
              </w:rPr>
            </w:pPr>
            <w:r w:rsidRPr="0037302C">
              <w:rPr>
                <w:rFonts w:ascii="Garamond" w:hAnsi="Garamond" w:cs="Times New Roman"/>
                <w:bCs/>
                <w:sz w:val="24"/>
                <w:szCs w:val="24"/>
              </w:rPr>
              <w:t>Effekterna av riskhanteringsåtgärderna ska följas upp genom övervakning i enlighet med SGU:s föreskrifter (SGU-FS 2024:2) om övervakning.</w:t>
            </w:r>
          </w:p>
        </w:tc>
        <w:tc>
          <w:tcPr>
            <w:tcW w:w="7385" w:type="dxa"/>
          </w:tcPr>
          <w:p w14:paraId="18376050" w14:textId="68EDD75F" w:rsidR="00D6410A" w:rsidRPr="003C5264" w:rsidRDefault="0037302C" w:rsidP="00646D29">
            <w:pPr>
              <w:rPr>
                <w:rFonts w:ascii="Garamond" w:hAnsi="Garamond" w:cs="Times New Roman"/>
                <w:sz w:val="24"/>
                <w:szCs w:val="24"/>
              </w:rPr>
            </w:pPr>
            <w:r>
              <w:rPr>
                <w:rFonts w:ascii="Garamond" w:hAnsi="Garamond" w:cs="Times New Roman"/>
                <w:sz w:val="24"/>
                <w:szCs w:val="24"/>
              </w:rPr>
              <w:t>Rättsligt stöd: artikel 8:2 c och 8:4 c samt 4 a kap 4 § punkt 2 vattenförvaltningsförordningen</w:t>
            </w:r>
          </w:p>
        </w:tc>
      </w:tr>
      <w:tr w:rsidR="00D6410A" w:rsidRPr="003C5264" w14:paraId="3AC0EE95" w14:textId="77777777" w:rsidTr="008E2A0F">
        <w:trPr>
          <w:trHeight w:val="219"/>
        </w:trPr>
        <w:tc>
          <w:tcPr>
            <w:tcW w:w="1546" w:type="dxa"/>
            <w:shd w:val="clear" w:color="auto" w:fill="0070C0"/>
          </w:tcPr>
          <w:p w14:paraId="7772F776" w14:textId="77777777" w:rsidR="00D6410A" w:rsidRDefault="00D6410A" w:rsidP="00646D29">
            <w:pPr>
              <w:rPr>
                <w:rFonts w:ascii="Garamond" w:hAnsi="Garamond" w:cs="Times New Roman"/>
                <w:sz w:val="24"/>
                <w:szCs w:val="24"/>
              </w:rPr>
            </w:pPr>
          </w:p>
        </w:tc>
        <w:tc>
          <w:tcPr>
            <w:tcW w:w="5806" w:type="dxa"/>
            <w:shd w:val="clear" w:color="auto" w:fill="0070C0"/>
          </w:tcPr>
          <w:p w14:paraId="72F6C714" w14:textId="77777777" w:rsidR="00D6410A" w:rsidRPr="00411CB9" w:rsidRDefault="00D6410A" w:rsidP="00301518">
            <w:pPr>
              <w:rPr>
                <w:rFonts w:ascii="Garamond" w:hAnsi="Garamond" w:cs="Times New Roman"/>
                <w:i/>
                <w:iCs/>
                <w:sz w:val="24"/>
                <w:szCs w:val="24"/>
              </w:rPr>
            </w:pPr>
          </w:p>
        </w:tc>
        <w:tc>
          <w:tcPr>
            <w:tcW w:w="7385" w:type="dxa"/>
            <w:shd w:val="clear" w:color="auto" w:fill="0070C0"/>
          </w:tcPr>
          <w:p w14:paraId="0040386A" w14:textId="77777777" w:rsidR="00D6410A" w:rsidRPr="003C5264" w:rsidRDefault="00D6410A" w:rsidP="00646D29">
            <w:pPr>
              <w:rPr>
                <w:rFonts w:ascii="Garamond" w:hAnsi="Garamond" w:cs="Times New Roman"/>
                <w:sz w:val="24"/>
                <w:szCs w:val="24"/>
              </w:rPr>
            </w:pPr>
          </w:p>
        </w:tc>
      </w:tr>
      <w:tr w:rsidR="00D6410A" w:rsidRPr="003C5264" w14:paraId="048A38D0" w14:textId="77777777" w:rsidTr="008E2A0F">
        <w:trPr>
          <w:trHeight w:val="219"/>
        </w:trPr>
        <w:tc>
          <w:tcPr>
            <w:tcW w:w="1546" w:type="dxa"/>
          </w:tcPr>
          <w:p w14:paraId="3469CC3E" w14:textId="7DABF1DF" w:rsidR="00D6410A" w:rsidRPr="00D15FB7" w:rsidRDefault="00D6410A" w:rsidP="00646D29">
            <w:pPr>
              <w:rPr>
                <w:rFonts w:ascii="Garamond" w:hAnsi="Garamond" w:cs="Times New Roman"/>
                <w:b/>
                <w:bCs/>
                <w:sz w:val="24"/>
                <w:szCs w:val="24"/>
              </w:rPr>
            </w:pPr>
            <w:r w:rsidRPr="00D15FB7">
              <w:rPr>
                <w:rFonts w:ascii="Garamond" w:hAnsi="Garamond" w:cs="Times New Roman"/>
                <w:b/>
                <w:bCs/>
                <w:sz w:val="24"/>
                <w:szCs w:val="24"/>
              </w:rPr>
              <w:t>Mellanrubrik</w:t>
            </w:r>
          </w:p>
        </w:tc>
        <w:tc>
          <w:tcPr>
            <w:tcW w:w="5806" w:type="dxa"/>
          </w:tcPr>
          <w:p w14:paraId="2FB29DE9" w14:textId="2806A274" w:rsidR="00D6410A" w:rsidRPr="00444B87" w:rsidRDefault="00D6410A" w:rsidP="00301518">
            <w:pPr>
              <w:rPr>
                <w:rFonts w:ascii="Garamond" w:hAnsi="Garamond" w:cs="Times New Roman"/>
                <w:b/>
                <w:bCs/>
                <w:i/>
                <w:iCs/>
                <w:sz w:val="24"/>
                <w:szCs w:val="24"/>
              </w:rPr>
            </w:pPr>
            <w:r w:rsidRPr="00444B87">
              <w:rPr>
                <w:rFonts w:ascii="Garamond" w:hAnsi="Garamond" w:cs="Times New Roman"/>
                <w:b/>
                <w:bCs/>
                <w:i/>
                <w:iCs/>
                <w:sz w:val="24"/>
                <w:szCs w:val="24"/>
              </w:rPr>
              <w:t xml:space="preserve">Åtgärdsprogram </w:t>
            </w:r>
          </w:p>
        </w:tc>
        <w:tc>
          <w:tcPr>
            <w:tcW w:w="7385" w:type="dxa"/>
          </w:tcPr>
          <w:p w14:paraId="7260BEF2" w14:textId="77777777" w:rsidR="00D6410A" w:rsidRPr="003C5264" w:rsidRDefault="00D6410A" w:rsidP="00646D29">
            <w:pPr>
              <w:rPr>
                <w:rFonts w:ascii="Garamond" w:hAnsi="Garamond" w:cs="Times New Roman"/>
                <w:sz w:val="24"/>
                <w:szCs w:val="24"/>
              </w:rPr>
            </w:pPr>
          </w:p>
        </w:tc>
      </w:tr>
      <w:tr w:rsidR="00D6410A" w:rsidRPr="003C5264" w14:paraId="5FF3DE45" w14:textId="77777777" w:rsidTr="008E2A0F">
        <w:trPr>
          <w:trHeight w:val="219"/>
        </w:trPr>
        <w:tc>
          <w:tcPr>
            <w:tcW w:w="1546" w:type="dxa"/>
          </w:tcPr>
          <w:p w14:paraId="0E57FDDA" w14:textId="5D444D90" w:rsidR="00D6410A" w:rsidRPr="003C5264" w:rsidRDefault="00D6410A" w:rsidP="00646D29">
            <w:pPr>
              <w:rPr>
                <w:rFonts w:ascii="Garamond" w:hAnsi="Garamond" w:cs="Times New Roman"/>
                <w:sz w:val="24"/>
                <w:szCs w:val="24"/>
              </w:rPr>
            </w:pPr>
            <w:r>
              <w:rPr>
                <w:rFonts w:ascii="Garamond" w:hAnsi="Garamond" w:cs="Times New Roman"/>
                <w:sz w:val="24"/>
                <w:szCs w:val="24"/>
              </w:rPr>
              <w:t>6 §</w:t>
            </w:r>
          </w:p>
        </w:tc>
        <w:tc>
          <w:tcPr>
            <w:tcW w:w="5806" w:type="dxa"/>
          </w:tcPr>
          <w:p w14:paraId="2C115F59" w14:textId="77777777" w:rsidR="00D15FB7" w:rsidRPr="00D15FB7" w:rsidRDefault="00D15FB7" w:rsidP="00D15FB7">
            <w:pPr>
              <w:rPr>
                <w:rFonts w:ascii="Garamond" w:hAnsi="Garamond" w:cs="Times New Roman"/>
                <w:sz w:val="24"/>
                <w:szCs w:val="24"/>
              </w:rPr>
            </w:pPr>
            <w:r w:rsidRPr="00D15FB7">
              <w:rPr>
                <w:rFonts w:ascii="Garamond" w:hAnsi="Garamond" w:cs="Times New Roman"/>
                <w:sz w:val="24"/>
                <w:szCs w:val="24"/>
              </w:rPr>
              <w:t xml:space="preserve">Vattenmyndigheten ska i varje förvaltningscykel för vattendistriktet fastställa åtgärder för de beslutade förslagen om riskhanteringsåtgärder, i syfte att skydda kvaliteten på dricksvatten. </w:t>
            </w:r>
          </w:p>
          <w:p w14:paraId="31839F04" w14:textId="77777777" w:rsidR="00D15FB7" w:rsidRPr="00D15FB7" w:rsidRDefault="00D15FB7" w:rsidP="00D15FB7">
            <w:pPr>
              <w:rPr>
                <w:rFonts w:ascii="Garamond" w:hAnsi="Garamond" w:cs="Times New Roman"/>
                <w:sz w:val="24"/>
                <w:szCs w:val="24"/>
              </w:rPr>
            </w:pPr>
          </w:p>
          <w:p w14:paraId="21783372" w14:textId="5B80C94C" w:rsidR="00D15FB7" w:rsidRPr="00D15FB7" w:rsidRDefault="00D15FB7" w:rsidP="00D15FB7">
            <w:pPr>
              <w:rPr>
                <w:rFonts w:ascii="Garamond" w:hAnsi="Garamond" w:cs="Times New Roman"/>
                <w:sz w:val="24"/>
                <w:szCs w:val="24"/>
              </w:rPr>
            </w:pPr>
            <w:r w:rsidRPr="00D15FB7">
              <w:rPr>
                <w:rFonts w:ascii="Garamond" w:hAnsi="Garamond" w:cs="Times New Roman"/>
                <w:sz w:val="24"/>
                <w:szCs w:val="24"/>
              </w:rPr>
              <w:t xml:space="preserve">Åtgärder som syftar till att skydda </w:t>
            </w:r>
            <w:r w:rsidR="00BA48A7">
              <w:t>kvaliteten</w:t>
            </w:r>
            <w:r w:rsidRPr="00D15FB7">
              <w:rPr>
                <w:rFonts w:ascii="Garamond" w:hAnsi="Garamond" w:cs="Times New Roman"/>
                <w:sz w:val="24"/>
                <w:szCs w:val="24"/>
              </w:rPr>
              <w:t xml:space="preserve"> på dricksvatten ska på lämpligt sätt tas in i åtgärdsprogrammet för vattendistriktet.</w:t>
            </w:r>
          </w:p>
          <w:p w14:paraId="1B5A71D6" w14:textId="77777777" w:rsidR="00D15FB7" w:rsidRPr="00D15FB7" w:rsidRDefault="00D15FB7" w:rsidP="00D15FB7">
            <w:pPr>
              <w:rPr>
                <w:rFonts w:ascii="Garamond" w:hAnsi="Garamond" w:cs="Times New Roman"/>
                <w:sz w:val="24"/>
                <w:szCs w:val="24"/>
              </w:rPr>
            </w:pPr>
          </w:p>
          <w:p w14:paraId="307A79EB" w14:textId="77CDD4EA" w:rsidR="00D6410A" w:rsidRPr="003C5264" w:rsidRDefault="00D15FB7" w:rsidP="00D15FB7">
            <w:pPr>
              <w:rPr>
                <w:rFonts w:ascii="Garamond" w:hAnsi="Garamond" w:cs="Times New Roman"/>
                <w:bCs/>
                <w:i/>
                <w:iCs/>
                <w:sz w:val="24"/>
                <w:szCs w:val="24"/>
              </w:rPr>
            </w:pPr>
            <w:r w:rsidRPr="00D15FB7">
              <w:rPr>
                <w:rFonts w:ascii="Garamond" w:hAnsi="Garamond" w:cs="Times New Roman"/>
                <w:sz w:val="24"/>
                <w:szCs w:val="24"/>
              </w:rPr>
              <w:t xml:space="preserve">Riskhanteringsåtgärder för att skydda kvaliteten på dricksvatten ska samordnas med åtgärder som syftar till att uppfylla beslutade miljökvalitetsnormer för </w:t>
            </w:r>
            <w:r w:rsidRPr="00D15FB7">
              <w:rPr>
                <w:rFonts w:ascii="Garamond" w:hAnsi="Garamond" w:cs="Times New Roman"/>
                <w:sz w:val="24"/>
                <w:szCs w:val="24"/>
              </w:rPr>
              <w:lastRenderedPageBreak/>
              <w:t>grundvattenförekomster enligt SGU föreskrifter (SGU-FS 2023:2) om miljökvalitetsnormer, när så är möjligt.</w:t>
            </w:r>
          </w:p>
        </w:tc>
        <w:tc>
          <w:tcPr>
            <w:tcW w:w="7385" w:type="dxa"/>
          </w:tcPr>
          <w:p w14:paraId="2236E33F" w14:textId="00EE8544" w:rsidR="00D15FB7" w:rsidRDefault="00D15FB7" w:rsidP="00646D29">
            <w:pPr>
              <w:rPr>
                <w:rFonts w:ascii="Garamond" w:hAnsi="Garamond" w:cs="Times New Roman"/>
                <w:sz w:val="24"/>
                <w:szCs w:val="24"/>
              </w:rPr>
            </w:pPr>
            <w:r>
              <w:rPr>
                <w:rFonts w:ascii="Garamond" w:hAnsi="Garamond" w:cs="Times New Roman"/>
                <w:sz w:val="24"/>
                <w:szCs w:val="24"/>
              </w:rPr>
              <w:lastRenderedPageBreak/>
              <w:t>Vattenmyndigheten</w:t>
            </w:r>
            <w:r w:rsidRPr="00D15FB7">
              <w:rPr>
                <w:rFonts w:ascii="Garamond" w:hAnsi="Garamond" w:cs="Times New Roman"/>
                <w:sz w:val="24"/>
                <w:szCs w:val="24"/>
              </w:rPr>
              <w:t xml:space="preserve"> </w:t>
            </w:r>
            <w:r w:rsidR="007A5673">
              <w:rPr>
                <w:rFonts w:ascii="Garamond" w:hAnsi="Garamond" w:cs="Times New Roman"/>
                <w:sz w:val="24"/>
                <w:szCs w:val="24"/>
              </w:rPr>
              <w:t xml:space="preserve">ska </w:t>
            </w:r>
            <w:r w:rsidRPr="00D15FB7">
              <w:rPr>
                <w:rFonts w:ascii="Garamond" w:hAnsi="Garamond" w:cs="Times New Roman"/>
                <w:sz w:val="24"/>
                <w:szCs w:val="24"/>
              </w:rPr>
              <w:t xml:space="preserve">fastställa vilka riskhanteringsåtgärder som ska genomföras, baserat på det förslag som </w:t>
            </w:r>
            <w:r>
              <w:rPr>
                <w:rFonts w:ascii="Garamond" w:hAnsi="Garamond" w:cs="Times New Roman"/>
                <w:sz w:val="24"/>
                <w:szCs w:val="24"/>
              </w:rPr>
              <w:t xml:space="preserve">vattenmyndighet </w:t>
            </w:r>
            <w:r w:rsidRPr="00D15FB7">
              <w:rPr>
                <w:rFonts w:ascii="Garamond" w:hAnsi="Garamond" w:cs="Times New Roman"/>
                <w:sz w:val="24"/>
                <w:szCs w:val="24"/>
              </w:rPr>
              <w:t>beslutade</w:t>
            </w:r>
            <w:r>
              <w:rPr>
                <w:rFonts w:ascii="Garamond" w:hAnsi="Garamond" w:cs="Times New Roman"/>
                <w:sz w:val="24"/>
                <w:szCs w:val="24"/>
              </w:rPr>
              <w:t xml:space="preserve"> om 4 § denna föreskrift.</w:t>
            </w:r>
            <w:r w:rsidRPr="00D15FB7">
              <w:rPr>
                <w:rFonts w:ascii="Garamond" w:hAnsi="Garamond" w:cs="Times New Roman"/>
                <w:sz w:val="24"/>
                <w:szCs w:val="24"/>
              </w:rPr>
              <w:t xml:space="preserve"> Dessa åtgärder ska därefter tas in i åtgärdsprogrammet för respektive vattendistrikt. </w:t>
            </w:r>
          </w:p>
          <w:p w14:paraId="7EB3A7D8" w14:textId="77777777" w:rsidR="00D15FB7" w:rsidRDefault="00D15FB7" w:rsidP="00646D29">
            <w:pPr>
              <w:rPr>
                <w:rFonts w:ascii="Garamond" w:hAnsi="Garamond" w:cs="Times New Roman"/>
                <w:sz w:val="24"/>
                <w:szCs w:val="24"/>
              </w:rPr>
            </w:pPr>
          </w:p>
          <w:p w14:paraId="23B50A50" w14:textId="1C6EC398" w:rsidR="00D15FB7" w:rsidRDefault="00D15FB7" w:rsidP="00646D29">
            <w:pPr>
              <w:rPr>
                <w:rFonts w:ascii="Garamond" w:hAnsi="Garamond" w:cs="Times New Roman"/>
                <w:sz w:val="24"/>
                <w:szCs w:val="24"/>
              </w:rPr>
            </w:pPr>
            <w:r w:rsidRPr="00D15FB7">
              <w:rPr>
                <w:rFonts w:ascii="Garamond" w:hAnsi="Garamond" w:cs="Times New Roman"/>
                <w:sz w:val="24"/>
                <w:szCs w:val="24"/>
              </w:rPr>
              <w:t xml:space="preserve">I detta steg kopplas en ansvarig myndighet eller kommun till varje specifik åtgärd. </w:t>
            </w:r>
            <w:r w:rsidR="002B2B9D">
              <w:rPr>
                <w:rFonts w:ascii="Garamond" w:hAnsi="Garamond" w:cs="Times New Roman"/>
                <w:sz w:val="24"/>
                <w:szCs w:val="24"/>
              </w:rPr>
              <w:t>Här tas även de systemövergripande åtgärderna fram.</w:t>
            </w:r>
            <w:r w:rsidR="00D503DD">
              <w:rPr>
                <w:rFonts w:ascii="Garamond" w:hAnsi="Garamond" w:cs="Times New Roman"/>
                <w:sz w:val="24"/>
                <w:szCs w:val="24"/>
              </w:rPr>
              <w:t xml:space="preserve"> Vidare kan även liknande åtgärder grupperas. </w:t>
            </w:r>
          </w:p>
          <w:p w14:paraId="4807A40B" w14:textId="77777777" w:rsidR="00D15FB7" w:rsidRDefault="00D15FB7" w:rsidP="00646D29">
            <w:pPr>
              <w:rPr>
                <w:rFonts w:ascii="Garamond" w:hAnsi="Garamond" w:cs="Times New Roman"/>
                <w:sz w:val="24"/>
                <w:szCs w:val="24"/>
              </w:rPr>
            </w:pPr>
          </w:p>
          <w:p w14:paraId="2144E310" w14:textId="4F0A6AB6" w:rsidR="00D6410A" w:rsidRDefault="00D15FB7" w:rsidP="00646D29">
            <w:pPr>
              <w:rPr>
                <w:rFonts w:ascii="Garamond" w:hAnsi="Garamond" w:cs="Times New Roman"/>
                <w:sz w:val="24"/>
                <w:szCs w:val="24"/>
              </w:rPr>
            </w:pPr>
            <w:r w:rsidRPr="00D15FB7">
              <w:rPr>
                <w:rFonts w:ascii="Garamond" w:hAnsi="Garamond" w:cs="Times New Roman"/>
                <w:sz w:val="24"/>
                <w:szCs w:val="24"/>
              </w:rPr>
              <w:t>Om en riskhanteringsåtgärd både bidrar till att skydda dricksvattenkvaliteten och uppfyll</w:t>
            </w:r>
            <w:r w:rsidR="0013214F">
              <w:rPr>
                <w:rFonts w:ascii="Garamond" w:hAnsi="Garamond" w:cs="Times New Roman"/>
                <w:sz w:val="24"/>
                <w:szCs w:val="24"/>
              </w:rPr>
              <w:t>a</w:t>
            </w:r>
            <w:r w:rsidRPr="00D15FB7">
              <w:rPr>
                <w:rFonts w:ascii="Garamond" w:hAnsi="Garamond" w:cs="Times New Roman"/>
                <w:sz w:val="24"/>
                <w:szCs w:val="24"/>
              </w:rPr>
              <w:t xml:space="preserve"> miljökvalitetsnormer för grundvattenförekomster, ska samordning ske så långt det är möjligt.</w:t>
            </w:r>
          </w:p>
          <w:p w14:paraId="0907C9BE" w14:textId="77777777" w:rsidR="0075425E" w:rsidRDefault="0075425E" w:rsidP="00646D29">
            <w:pPr>
              <w:rPr>
                <w:rFonts w:ascii="Garamond" w:hAnsi="Garamond" w:cs="Times New Roman"/>
                <w:sz w:val="24"/>
                <w:szCs w:val="24"/>
              </w:rPr>
            </w:pPr>
          </w:p>
          <w:p w14:paraId="182CB736" w14:textId="6DF931A6" w:rsidR="0075425E" w:rsidRDefault="0075425E" w:rsidP="00646D29">
            <w:pPr>
              <w:rPr>
                <w:rFonts w:ascii="Garamond" w:hAnsi="Garamond" w:cs="Times New Roman"/>
                <w:sz w:val="24"/>
                <w:szCs w:val="24"/>
              </w:rPr>
            </w:pPr>
            <w:r>
              <w:rPr>
                <w:rFonts w:ascii="Garamond" w:hAnsi="Garamond" w:cs="Times New Roman"/>
                <w:sz w:val="24"/>
                <w:szCs w:val="24"/>
              </w:rPr>
              <w:lastRenderedPageBreak/>
              <w:t>Rättsligt stöd:</w:t>
            </w:r>
          </w:p>
          <w:p w14:paraId="670872EB" w14:textId="77777777" w:rsidR="0013214F" w:rsidRDefault="0013214F" w:rsidP="00646D29">
            <w:pPr>
              <w:rPr>
                <w:rFonts w:ascii="Garamond" w:hAnsi="Garamond" w:cs="Times New Roman"/>
                <w:sz w:val="24"/>
                <w:szCs w:val="24"/>
              </w:rPr>
            </w:pPr>
          </w:p>
          <w:p w14:paraId="65A40229" w14:textId="067D45CC" w:rsidR="0075425E" w:rsidRPr="003C5264" w:rsidRDefault="0075425E" w:rsidP="00646D29">
            <w:pPr>
              <w:rPr>
                <w:rFonts w:ascii="Garamond" w:hAnsi="Garamond" w:cs="Times New Roman"/>
                <w:sz w:val="24"/>
                <w:szCs w:val="24"/>
              </w:rPr>
            </w:pPr>
            <w:r>
              <w:rPr>
                <w:rFonts w:ascii="Garamond" w:hAnsi="Garamond" w:cs="Times New Roman"/>
                <w:sz w:val="24"/>
                <w:szCs w:val="24"/>
              </w:rPr>
              <w:t>6 kap. 1 § vattenförvaltningsförordningen</w:t>
            </w:r>
          </w:p>
        </w:tc>
      </w:tr>
      <w:tr w:rsidR="00D6410A" w:rsidRPr="003C5264" w14:paraId="403D1BF2" w14:textId="77777777" w:rsidTr="008E2A0F">
        <w:trPr>
          <w:trHeight w:val="219"/>
        </w:trPr>
        <w:tc>
          <w:tcPr>
            <w:tcW w:w="1546" w:type="dxa"/>
            <w:shd w:val="clear" w:color="auto" w:fill="0070C0"/>
          </w:tcPr>
          <w:p w14:paraId="78EEAAF1" w14:textId="77777777" w:rsidR="00D6410A" w:rsidRPr="003C5264" w:rsidRDefault="00D6410A" w:rsidP="00646D29">
            <w:pPr>
              <w:rPr>
                <w:rFonts w:ascii="Garamond" w:hAnsi="Garamond" w:cs="Times New Roman"/>
                <w:sz w:val="24"/>
                <w:szCs w:val="24"/>
              </w:rPr>
            </w:pPr>
          </w:p>
        </w:tc>
        <w:tc>
          <w:tcPr>
            <w:tcW w:w="5806" w:type="dxa"/>
            <w:shd w:val="clear" w:color="auto" w:fill="0070C0"/>
          </w:tcPr>
          <w:p w14:paraId="4414F6C6" w14:textId="77777777" w:rsidR="00D6410A" w:rsidRPr="003C5264" w:rsidRDefault="00D6410A" w:rsidP="00301518">
            <w:pPr>
              <w:rPr>
                <w:rFonts w:ascii="Garamond" w:hAnsi="Garamond" w:cs="Times New Roman"/>
                <w:sz w:val="24"/>
                <w:szCs w:val="24"/>
              </w:rPr>
            </w:pPr>
          </w:p>
        </w:tc>
        <w:tc>
          <w:tcPr>
            <w:tcW w:w="7385" w:type="dxa"/>
            <w:shd w:val="clear" w:color="auto" w:fill="0070C0"/>
          </w:tcPr>
          <w:p w14:paraId="734BDBD3" w14:textId="77777777" w:rsidR="00D6410A" w:rsidRPr="003C5264" w:rsidRDefault="00D6410A" w:rsidP="00646D29">
            <w:pPr>
              <w:rPr>
                <w:rFonts w:ascii="Garamond" w:hAnsi="Garamond" w:cs="Times New Roman"/>
                <w:sz w:val="24"/>
                <w:szCs w:val="24"/>
              </w:rPr>
            </w:pPr>
          </w:p>
        </w:tc>
      </w:tr>
      <w:tr w:rsidR="00D6410A" w:rsidRPr="003C5264" w14:paraId="07524CD4" w14:textId="77777777" w:rsidTr="008E2A0F">
        <w:trPr>
          <w:trHeight w:val="302"/>
        </w:trPr>
        <w:tc>
          <w:tcPr>
            <w:tcW w:w="1546" w:type="dxa"/>
          </w:tcPr>
          <w:p w14:paraId="0B099644" w14:textId="39645AB9" w:rsidR="00D6410A" w:rsidRPr="00D15FB7" w:rsidRDefault="00D6410A" w:rsidP="008D12CE">
            <w:pPr>
              <w:rPr>
                <w:rFonts w:ascii="Garamond" w:hAnsi="Garamond" w:cs="Times New Roman"/>
                <w:b/>
                <w:bCs/>
                <w:sz w:val="24"/>
                <w:szCs w:val="24"/>
              </w:rPr>
            </w:pPr>
            <w:r w:rsidRPr="00D15FB7">
              <w:rPr>
                <w:rFonts w:ascii="Garamond" w:hAnsi="Garamond" w:cs="Times New Roman"/>
                <w:b/>
                <w:bCs/>
                <w:sz w:val="24"/>
                <w:szCs w:val="24"/>
              </w:rPr>
              <w:t>Mellanrubrik</w:t>
            </w:r>
          </w:p>
        </w:tc>
        <w:tc>
          <w:tcPr>
            <w:tcW w:w="5806" w:type="dxa"/>
          </w:tcPr>
          <w:p w14:paraId="02A097F2" w14:textId="6AFD61DC" w:rsidR="00D6410A" w:rsidRPr="0075425E" w:rsidRDefault="00D6410A" w:rsidP="00301518">
            <w:pPr>
              <w:rPr>
                <w:rFonts w:ascii="Garamond" w:hAnsi="Garamond" w:cs="Times New Roman"/>
                <w:b/>
                <w:bCs/>
                <w:sz w:val="24"/>
                <w:szCs w:val="24"/>
              </w:rPr>
            </w:pPr>
            <w:r w:rsidRPr="0075425E">
              <w:rPr>
                <w:rFonts w:ascii="Garamond" w:hAnsi="Garamond" w:cs="Times New Roman"/>
                <w:b/>
                <w:bCs/>
                <w:sz w:val="24"/>
                <w:szCs w:val="24"/>
              </w:rPr>
              <w:t>R</w:t>
            </w:r>
            <w:r w:rsidR="00D15FB7" w:rsidRPr="0075425E">
              <w:rPr>
                <w:rFonts w:ascii="Garamond" w:hAnsi="Garamond" w:cs="Times New Roman"/>
                <w:b/>
                <w:bCs/>
                <w:sz w:val="24"/>
                <w:szCs w:val="24"/>
              </w:rPr>
              <w:t>edovisning</w:t>
            </w:r>
          </w:p>
        </w:tc>
        <w:tc>
          <w:tcPr>
            <w:tcW w:w="7385" w:type="dxa"/>
          </w:tcPr>
          <w:p w14:paraId="65F1C653" w14:textId="15A01415" w:rsidR="00D6410A" w:rsidRPr="003C5264" w:rsidRDefault="00D6410A" w:rsidP="00646D29">
            <w:pPr>
              <w:rPr>
                <w:rFonts w:ascii="Garamond" w:hAnsi="Garamond" w:cs="Times New Roman"/>
                <w:sz w:val="24"/>
                <w:szCs w:val="24"/>
              </w:rPr>
            </w:pPr>
          </w:p>
        </w:tc>
      </w:tr>
      <w:tr w:rsidR="00D6410A" w:rsidRPr="003C5264" w14:paraId="0FC68284" w14:textId="77777777" w:rsidTr="008E2A0F">
        <w:trPr>
          <w:trHeight w:val="219"/>
        </w:trPr>
        <w:tc>
          <w:tcPr>
            <w:tcW w:w="1546" w:type="dxa"/>
          </w:tcPr>
          <w:p w14:paraId="2FE4B2EC" w14:textId="4BD78D6D" w:rsidR="00D6410A" w:rsidRPr="003C5264" w:rsidRDefault="00D6410A" w:rsidP="00646D29">
            <w:pPr>
              <w:rPr>
                <w:rFonts w:ascii="Garamond" w:hAnsi="Garamond" w:cs="Times New Roman"/>
                <w:sz w:val="24"/>
                <w:szCs w:val="24"/>
              </w:rPr>
            </w:pPr>
            <w:r>
              <w:rPr>
                <w:rFonts w:ascii="Garamond" w:hAnsi="Garamond" w:cs="Times New Roman"/>
                <w:sz w:val="24"/>
                <w:szCs w:val="24"/>
              </w:rPr>
              <w:t>7 §</w:t>
            </w:r>
          </w:p>
        </w:tc>
        <w:tc>
          <w:tcPr>
            <w:tcW w:w="5806" w:type="dxa"/>
          </w:tcPr>
          <w:p w14:paraId="6432116B" w14:textId="1F81AA29" w:rsidR="00D6410A" w:rsidRPr="00D15FB7" w:rsidRDefault="00D15FB7" w:rsidP="00301518">
            <w:pPr>
              <w:rPr>
                <w:rFonts w:ascii="Garamond" w:hAnsi="Garamond" w:cs="Times New Roman"/>
                <w:sz w:val="24"/>
                <w:szCs w:val="24"/>
              </w:rPr>
            </w:pPr>
            <w:r w:rsidRPr="00D15FB7">
              <w:rPr>
                <w:rFonts w:ascii="Garamond" w:hAnsi="Garamond" w:cs="Times New Roman"/>
                <w:sz w:val="24"/>
                <w:szCs w:val="24"/>
              </w:rPr>
              <w:t>Vattenmyndigheten ska redovisa uppgifterna i dessa föreskrifter i enlighet med SGU:s föreskrifter och allmänna råd (SGU-FS 2017:1) om redovisning av förvaltningsplaner och åtgärdsprogram för grundvatten.</w:t>
            </w:r>
          </w:p>
        </w:tc>
        <w:tc>
          <w:tcPr>
            <w:tcW w:w="7385" w:type="dxa"/>
          </w:tcPr>
          <w:p w14:paraId="6FD31481" w14:textId="77777777" w:rsidR="00D6410A" w:rsidRPr="003C5264" w:rsidRDefault="00D6410A" w:rsidP="00646D29">
            <w:pPr>
              <w:rPr>
                <w:rFonts w:ascii="Garamond" w:hAnsi="Garamond" w:cs="Times New Roman"/>
                <w:sz w:val="24"/>
                <w:szCs w:val="24"/>
              </w:rPr>
            </w:pPr>
          </w:p>
        </w:tc>
      </w:tr>
    </w:tbl>
    <w:p w14:paraId="6A4C2218" w14:textId="77777777" w:rsidR="00646D29" w:rsidRPr="003C5264" w:rsidRDefault="00646D29" w:rsidP="00CA7359">
      <w:pPr>
        <w:rPr>
          <w:rFonts w:ascii="Garamond" w:hAnsi="Garamond" w:cs="Times New Roman"/>
          <w:b/>
          <w:bCs/>
          <w:sz w:val="24"/>
          <w:szCs w:val="24"/>
        </w:rPr>
      </w:pPr>
    </w:p>
    <w:sectPr w:rsidR="00646D29" w:rsidRPr="003C5264" w:rsidSect="008D4510">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2BBE2" w14:textId="77777777" w:rsidR="00535A19" w:rsidRDefault="00535A19" w:rsidP="00AC64CC">
      <w:pPr>
        <w:spacing w:after="0" w:line="240" w:lineRule="auto"/>
      </w:pPr>
      <w:r>
        <w:separator/>
      </w:r>
    </w:p>
  </w:endnote>
  <w:endnote w:type="continuationSeparator" w:id="0">
    <w:p w14:paraId="1A82EC78" w14:textId="77777777" w:rsidR="00535A19" w:rsidRDefault="00535A19" w:rsidP="00AC64CC">
      <w:pPr>
        <w:spacing w:after="0" w:line="240" w:lineRule="auto"/>
      </w:pPr>
      <w:r>
        <w:continuationSeparator/>
      </w:r>
    </w:p>
  </w:endnote>
  <w:endnote w:type="continuationNotice" w:id="1">
    <w:p w14:paraId="1307E2C1" w14:textId="77777777" w:rsidR="00535A19" w:rsidRDefault="00535A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D7DB" w14:textId="77777777" w:rsidR="002F5F66" w:rsidRDefault="002F5F6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873B" w14:textId="77777777" w:rsidR="002F5F66" w:rsidRDefault="002F5F6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3A34" w14:textId="77777777" w:rsidR="002F5F66" w:rsidRDefault="002F5F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4E3BF" w14:textId="77777777" w:rsidR="00535A19" w:rsidRDefault="00535A19" w:rsidP="00AC64CC">
      <w:pPr>
        <w:spacing w:after="0" w:line="240" w:lineRule="auto"/>
      </w:pPr>
      <w:r>
        <w:separator/>
      </w:r>
    </w:p>
  </w:footnote>
  <w:footnote w:type="continuationSeparator" w:id="0">
    <w:p w14:paraId="6858691D" w14:textId="77777777" w:rsidR="00535A19" w:rsidRDefault="00535A19" w:rsidP="00AC64CC">
      <w:pPr>
        <w:spacing w:after="0" w:line="240" w:lineRule="auto"/>
      </w:pPr>
      <w:r>
        <w:continuationSeparator/>
      </w:r>
    </w:p>
  </w:footnote>
  <w:footnote w:type="continuationNotice" w:id="1">
    <w:p w14:paraId="0B0009A8" w14:textId="77777777" w:rsidR="00535A19" w:rsidRDefault="00535A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4B4E" w14:textId="77777777" w:rsidR="002F5F66" w:rsidRDefault="002F5F6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701217"/>
      <w:docPartObj>
        <w:docPartGallery w:val="Watermarks"/>
        <w:docPartUnique/>
      </w:docPartObj>
    </w:sdtPr>
    <w:sdtContent>
      <w:p w14:paraId="01240E30" w14:textId="5764312C" w:rsidR="002F5F66" w:rsidRDefault="002F5F66">
        <w:pPr>
          <w:pStyle w:val="Sidhuvud"/>
        </w:pPr>
        <w:r>
          <w:pict w14:anchorId="16188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F01C" w14:textId="77777777" w:rsidR="002F5F66" w:rsidRDefault="002F5F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BE6"/>
    <w:multiLevelType w:val="hybridMultilevel"/>
    <w:tmpl w:val="9A7884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59B08A2"/>
    <w:multiLevelType w:val="hybridMultilevel"/>
    <w:tmpl w:val="AEF443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BB1D2C"/>
    <w:multiLevelType w:val="multilevel"/>
    <w:tmpl w:val="B2D2D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9924F3"/>
    <w:multiLevelType w:val="multilevel"/>
    <w:tmpl w:val="6E6A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895843"/>
    <w:multiLevelType w:val="multilevel"/>
    <w:tmpl w:val="72D6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DE6B0C"/>
    <w:multiLevelType w:val="hybridMultilevel"/>
    <w:tmpl w:val="F85A15A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ED36907"/>
    <w:multiLevelType w:val="hybridMultilevel"/>
    <w:tmpl w:val="31FC071A"/>
    <w:lvl w:ilvl="0" w:tplc="25048DEE">
      <w:start w:val="21"/>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39D31B8"/>
    <w:multiLevelType w:val="multilevel"/>
    <w:tmpl w:val="3522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D35ED1"/>
    <w:multiLevelType w:val="hybridMultilevel"/>
    <w:tmpl w:val="540EF6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EC75E2A"/>
    <w:multiLevelType w:val="hybridMultilevel"/>
    <w:tmpl w:val="45064E3C"/>
    <w:lvl w:ilvl="0" w:tplc="B4A6CD4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BD32BC"/>
    <w:multiLevelType w:val="hybridMultilevel"/>
    <w:tmpl w:val="44F863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72E031C"/>
    <w:multiLevelType w:val="hybridMultilevel"/>
    <w:tmpl w:val="E3720D10"/>
    <w:lvl w:ilvl="0" w:tplc="99A611C8">
      <w:start w:val="1"/>
      <w:numFmt w:val="bullet"/>
      <w:lvlText w:val="•"/>
      <w:lvlJc w:val="left"/>
      <w:pPr>
        <w:tabs>
          <w:tab w:val="num" w:pos="720"/>
        </w:tabs>
        <w:ind w:left="720" w:hanging="360"/>
      </w:pPr>
      <w:rPr>
        <w:rFonts w:ascii="Arial" w:hAnsi="Arial" w:hint="default"/>
      </w:rPr>
    </w:lvl>
    <w:lvl w:ilvl="1" w:tplc="6F2C4FC4" w:tentative="1">
      <w:start w:val="1"/>
      <w:numFmt w:val="bullet"/>
      <w:lvlText w:val="•"/>
      <w:lvlJc w:val="left"/>
      <w:pPr>
        <w:tabs>
          <w:tab w:val="num" w:pos="1440"/>
        </w:tabs>
        <w:ind w:left="1440" w:hanging="360"/>
      </w:pPr>
      <w:rPr>
        <w:rFonts w:ascii="Arial" w:hAnsi="Arial" w:hint="default"/>
      </w:rPr>
    </w:lvl>
    <w:lvl w:ilvl="2" w:tplc="6BEEEEB0" w:tentative="1">
      <w:start w:val="1"/>
      <w:numFmt w:val="bullet"/>
      <w:lvlText w:val="•"/>
      <w:lvlJc w:val="left"/>
      <w:pPr>
        <w:tabs>
          <w:tab w:val="num" w:pos="2160"/>
        </w:tabs>
        <w:ind w:left="2160" w:hanging="360"/>
      </w:pPr>
      <w:rPr>
        <w:rFonts w:ascii="Arial" w:hAnsi="Arial" w:hint="default"/>
      </w:rPr>
    </w:lvl>
    <w:lvl w:ilvl="3" w:tplc="935EEC00" w:tentative="1">
      <w:start w:val="1"/>
      <w:numFmt w:val="bullet"/>
      <w:lvlText w:val="•"/>
      <w:lvlJc w:val="left"/>
      <w:pPr>
        <w:tabs>
          <w:tab w:val="num" w:pos="2880"/>
        </w:tabs>
        <w:ind w:left="2880" w:hanging="360"/>
      </w:pPr>
      <w:rPr>
        <w:rFonts w:ascii="Arial" w:hAnsi="Arial" w:hint="default"/>
      </w:rPr>
    </w:lvl>
    <w:lvl w:ilvl="4" w:tplc="49FCCBCE" w:tentative="1">
      <w:start w:val="1"/>
      <w:numFmt w:val="bullet"/>
      <w:lvlText w:val="•"/>
      <w:lvlJc w:val="left"/>
      <w:pPr>
        <w:tabs>
          <w:tab w:val="num" w:pos="3600"/>
        </w:tabs>
        <w:ind w:left="3600" w:hanging="360"/>
      </w:pPr>
      <w:rPr>
        <w:rFonts w:ascii="Arial" w:hAnsi="Arial" w:hint="default"/>
      </w:rPr>
    </w:lvl>
    <w:lvl w:ilvl="5" w:tplc="5C98BE62" w:tentative="1">
      <w:start w:val="1"/>
      <w:numFmt w:val="bullet"/>
      <w:lvlText w:val="•"/>
      <w:lvlJc w:val="left"/>
      <w:pPr>
        <w:tabs>
          <w:tab w:val="num" w:pos="4320"/>
        </w:tabs>
        <w:ind w:left="4320" w:hanging="360"/>
      </w:pPr>
      <w:rPr>
        <w:rFonts w:ascii="Arial" w:hAnsi="Arial" w:hint="default"/>
      </w:rPr>
    </w:lvl>
    <w:lvl w:ilvl="6" w:tplc="6F34B53C" w:tentative="1">
      <w:start w:val="1"/>
      <w:numFmt w:val="bullet"/>
      <w:lvlText w:val="•"/>
      <w:lvlJc w:val="left"/>
      <w:pPr>
        <w:tabs>
          <w:tab w:val="num" w:pos="5040"/>
        </w:tabs>
        <w:ind w:left="5040" w:hanging="360"/>
      </w:pPr>
      <w:rPr>
        <w:rFonts w:ascii="Arial" w:hAnsi="Arial" w:hint="default"/>
      </w:rPr>
    </w:lvl>
    <w:lvl w:ilvl="7" w:tplc="5C3E2BDE" w:tentative="1">
      <w:start w:val="1"/>
      <w:numFmt w:val="bullet"/>
      <w:lvlText w:val="•"/>
      <w:lvlJc w:val="left"/>
      <w:pPr>
        <w:tabs>
          <w:tab w:val="num" w:pos="5760"/>
        </w:tabs>
        <w:ind w:left="5760" w:hanging="360"/>
      </w:pPr>
      <w:rPr>
        <w:rFonts w:ascii="Arial" w:hAnsi="Arial" w:hint="default"/>
      </w:rPr>
    </w:lvl>
    <w:lvl w:ilvl="8" w:tplc="3488BB0C" w:tentative="1">
      <w:start w:val="1"/>
      <w:numFmt w:val="bullet"/>
      <w:lvlText w:val="•"/>
      <w:lvlJc w:val="left"/>
      <w:pPr>
        <w:tabs>
          <w:tab w:val="num" w:pos="6480"/>
        </w:tabs>
        <w:ind w:left="6480" w:hanging="360"/>
      </w:pPr>
      <w:rPr>
        <w:rFonts w:ascii="Arial" w:hAnsi="Arial" w:hint="default"/>
      </w:rPr>
    </w:lvl>
  </w:abstractNum>
  <w:num w:numId="1" w16cid:durableId="983242346">
    <w:abstractNumId w:val="1"/>
  </w:num>
  <w:num w:numId="2" w16cid:durableId="940338013">
    <w:abstractNumId w:val="6"/>
  </w:num>
  <w:num w:numId="3" w16cid:durableId="1192066218">
    <w:abstractNumId w:val="9"/>
  </w:num>
  <w:num w:numId="4" w16cid:durableId="799372901">
    <w:abstractNumId w:val="0"/>
  </w:num>
  <w:num w:numId="5" w16cid:durableId="429860503">
    <w:abstractNumId w:val="5"/>
  </w:num>
  <w:num w:numId="6" w16cid:durableId="23290066">
    <w:abstractNumId w:val="8"/>
  </w:num>
  <w:num w:numId="7" w16cid:durableId="728575284">
    <w:abstractNumId w:val="10"/>
  </w:num>
  <w:num w:numId="8" w16cid:durableId="422772737">
    <w:abstractNumId w:val="11"/>
  </w:num>
  <w:num w:numId="9" w16cid:durableId="706217095">
    <w:abstractNumId w:val="3"/>
  </w:num>
  <w:num w:numId="10" w16cid:durableId="1209681809">
    <w:abstractNumId w:val="4"/>
  </w:num>
  <w:num w:numId="11" w16cid:durableId="5445648">
    <w:abstractNumId w:val="7"/>
  </w:num>
  <w:num w:numId="12" w16cid:durableId="153369286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EC"/>
    <w:rsid w:val="00005A21"/>
    <w:rsid w:val="000107B1"/>
    <w:rsid w:val="00013315"/>
    <w:rsid w:val="000178BA"/>
    <w:rsid w:val="00024FBE"/>
    <w:rsid w:val="00030BCB"/>
    <w:rsid w:val="00031F33"/>
    <w:rsid w:val="00042213"/>
    <w:rsid w:val="00042898"/>
    <w:rsid w:val="00045088"/>
    <w:rsid w:val="000462B9"/>
    <w:rsid w:val="00052FA8"/>
    <w:rsid w:val="00056238"/>
    <w:rsid w:val="00056295"/>
    <w:rsid w:val="0005700E"/>
    <w:rsid w:val="00060956"/>
    <w:rsid w:val="00060AAE"/>
    <w:rsid w:val="000623F6"/>
    <w:rsid w:val="0006497C"/>
    <w:rsid w:val="00064A84"/>
    <w:rsid w:val="000662C6"/>
    <w:rsid w:val="00071DDC"/>
    <w:rsid w:val="0007432C"/>
    <w:rsid w:val="00084D4E"/>
    <w:rsid w:val="000867A7"/>
    <w:rsid w:val="00086DB7"/>
    <w:rsid w:val="00093C6C"/>
    <w:rsid w:val="00097C96"/>
    <w:rsid w:val="000A44BF"/>
    <w:rsid w:val="000A4D0D"/>
    <w:rsid w:val="000A686A"/>
    <w:rsid w:val="000A6ACE"/>
    <w:rsid w:val="000B2B45"/>
    <w:rsid w:val="000B3163"/>
    <w:rsid w:val="000C5BC9"/>
    <w:rsid w:val="000C7910"/>
    <w:rsid w:val="000E1CEC"/>
    <w:rsid w:val="00103590"/>
    <w:rsid w:val="001107D6"/>
    <w:rsid w:val="001141FA"/>
    <w:rsid w:val="0011480D"/>
    <w:rsid w:val="001161CB"/>
    <w:rsid w:val="0012448A"/>
    <w:rsid w:val="0013013F"/>
    <w:rsid w:val="0013214F"/>
    <w:rsid w:val="001344A4"/>
    <w:rsid w:val="001524B4"/>
    <w:rsid w:val="00155E62"/>
    <w:rsid w:val="001609B6"/>
    <w:rsid w:val="00171F1D"/>
    <w:rsid w:val="001757F1"/>
    <w:rsid w:val="00175DF8"/>
    <w:rsid w:val="00183BFE"/>
    <w:rsid w:val="001862A3"/>
    <w:rsid w:val="001864CC"/>
    <w:rsid w:val="00187C8E"/>
    <w:rsid w:val="001925FD"/>
    <w:rsid w:val="00196092"/>
    <w:rsid w:val="001B26CF"/>
    <w:rsid w:val="001B3116"/>
    <w:rsid w:val="001B3138"/>
    <w:rsid w:val="001C461C"/>
    <w:rsid w:val="001D4051"/>
    <w:rsid w:val="001D7C7C"/>
    <w:rsid w:val="001F2A42"/>
    <w:rsid w:val="001F352E"/>
    <w:rsid w:val="00202A9C"/>
    <w:rsid w:val="00206F25"/>
    <w:rsid w:val="00214E26"/>
    <w:rsid w:val="00217273"/>
    <w:rsid w:val="00221624"/>
    <w:rsid w:val="002224DA"/>
    <w:rsid w:val="00223931"/>
    <w:rsid w:val="00225ACD"/>
    <w:rsid w:val="00237C1C"/>
    <w:rsid w:val="00237CF1"/>
    <w:rsid w:val="00240116"/>
    <w:rsid w:val="002438BC"/>
    <w:rsid w:val="0025176E"/>
    <w:rsid w:val="002538AC"/>
    <w:rsid w:val="0025552C"/>
    <w:rsid w:val="002563B6"/>
    <w:rsid w:val="00256FB3"/>
    <w:rsid w:val="0026366F"/>
    <w:rsid w:val="00263B29"/>
    <w:rsid w:val="002657C9"/>
    <w:rsid w:val="00267417"/>
    <w:rsid w:val="00272E4B"/>
    <w:rsid w:val="0027691D"/>
    <w:rsid w:val="0028300B"/>
    <w:rsid w:val="002901D7"/>
    <w:rsid w:val="002A2135"/>
    <w:rsid w:val="002A5584"/>
    <w:rsid w:val="002B1D65"/>
    <w:rsid w:val="002B2597"/>
    <w:rsid w:val="002B2B9D"/>
    <w:rsid w:val="002B3211"/>
    <w:rsid w:val="002B68A4"/>
    <w:rsid w:val="002C3FB5"/>
    <w:rsid w:val="002C5C07"/>
    <w:rsid w:val="002C6DEB"/>
    <w:rsid w:val="002D5713"/>
    <w:rsid w:val="002D6515"/>
    <w:rsid w:val="002E0FA0"/>
    <w:rsid w:val="002E682B"/>
    <w:rsid w:val="002F1087"/>
    <w:rsid w:val="002F5F66"/>
    <w:rsid w:val="002F6621"/>
    <w:rsid w:val="002F7349"/>
    <w:rsid w:val="00301518"/>
    <w:rsid w:val="00307CB0"/>
    <w:rsid w:val="0031228F"/>
    <w:rsid w:val="00315EAD"/>
    <w:rsid w:val="00316013"/>
    <w:rsid w:val="003206D9"/>
    <w:rsid w:val="00323BFE"/>
    <w:rsid w:val="0032795C"/>
    <w:rsid w:val="00334C58"/>
    <w:rsid w:val="00335E91"/>
    <w:rsid w:val="003407D8"/>
    <w:rsid w:val="00340B1B"/>
    <w:rsid w:val="003433C1"/>
    <w:rsid w:val="00343A06"/>
    <w:rsid w:val="003513E5"/>
    <w:rsid w:val="00353337"/>
    <w:rsid w:val="0035487D"/>
    <w:rsid w:val="00361ADA"/>
    <w:rsid w:val="00365D17"/>
    <w:rsid w:val="00372105"/>
    <w:rsid w:val="0037302C"/>
    <w:rsid w:val="00380030"/>
    <w:rsid w:val="00381DD6"/>
    <w:rsid w:val="003838E4"/>
    <w:rsid w:val="003850EE"/>
    <w:rsid w:val="0038730F"/>
    <w:rsid w:val="00390A9B"/>
    <w:rsid w:val="0039510A"/>
    <w:rsid w:val="00396882"/>
    <w:rsid w:val="003A0018"/>
    <w:rsid w:val="003A59B8"/>
    <w:rsid w:val="003B0DF5"/>
    <w:rsid w:val="003B19EC"/>
    <w:rsid w:val="003B381F"/>
    <w:rsid w:val="003C47DA"/>
    <w:rsid w:val="003C4E35"/>
    <w:rsid w:val="003C5221"/>
    <w:rsid w:val="003C5264"/>
    <w:rsid w:val="003D27B7"/>
    <w:rsid w:val="003D38A6"/>
    <w:rsid w:val="003F7AAC"/>
    <w:rsid w:val="00404972"/>
    <w:rsid w:val="00406358"/>
    <w:rsid w:val="004114ED"/>
    <w:rsid w:val="00411CB9"/>
    <w:rsid w:val="0041340E"/>
    <w:rsid w:val="00420DB9"/>
    <w:rsid w:val="00432300"/>
    <w:rsid w:val="00432DF5"/>
    <w:rsid w:val="00444B87"/>
    <w:rsid w:val="00446069"/>
    <w:rsid w:val="00452F1C"/>
    <w:rsid w:val="00465027"/>
    <w:rsid w:val="00466C18"/>
    <w:rsid w:val="00466E77"/>
    <w:rsid w:val="00467740"/>
    <w:rsid w:val="0047294A"/>
    <w:rsid w:val="0047553A"/>
    <w:rsid w:val="00481C86"/>
    <w:rsid w:val="00485826"/>
    <w:rsid w:val="00487716"/>
    <w:rsid w:val="00487CB3"/>
    <w:rsid w:val="0049040C"/>
    <w:rsid w:val="004934DD"/>
    <w:rsid w:val="004A74F2"/>
    <w:rsid w:val="004C0445"/>
    <w:rsid w:val="004C0D04"/>
    <w:rsid w:val="004C14D4"/>
    <w:rsid w:val="004C1C3E"/>
    <w:rsid w:val="004C6AE6"/>
    <w:rsid w:val="004C7574"/>
    <w:rsid w:val="004D19EE"/>
    <w:rsid w:val="004D74AE"/>
    <w:rsid w:val="005020F1"/>
    <w:rsid w:val="00506CB7"/>
    <w:rsid w:val="005251F3"/>
    <w:rsid w:val="00527D2B"/>
    <w:rsid w:val="005344A6"/>
    <w:rsid w:val="00535A19"/>
    <w:rsid w:val="005413C9"/>
    <w:rsid w:val="00547605"/>
    <w:rsid w:val="00551F90"/>
    <w:rsid w:val="00553C78"/>
    <w:rsid w:val="005653EA"/>
    <w:rsid w:val="00575426"/>
    <w:rsid w:val="005850A1"/>
    <w:rsid w:val="00594A45"/>
    <w:rsid w:val="005964E7"/>
    <w:rsid w:val="005A080D"/>
    <w:rsid w:val="005A44DC"/>
    <w:rsid w:val="005A49E2"/>
    <w:rsid w:val="005A505A"/>
    <w:rsid w:val="005A6EA6"/>
    <w:rsid w:val="005A7112"/>
    <w:rsid w:val="005B6772"/>
    <w:rsid w:val="005B6D6E"/>
    <w:rsid w:val="005B6DA4"/>
    <w:rsid w:val="005C08E7"/>
    <w:rsid w:val="005C3173"/>
    <w:rsid w:val="005C37B6"/>
    <w:rsid w:val="005C4B05"/>
    <w:rsid w:val="005D55EA"/>
    <w:rsid w:val="005D5D4C"/>
    <w:rsid w:val="005E0051"/>
    <w:rsid w:val="005E5709"/>
    <w:rsid w:val="005E6682"/>
    <w:rsid w:val="00604AF7"/>
    <w:rsid w:val="00605B64"/>
    <w:rsid w:val="00606227"/>
    <w:rsid w:val="0061457C"/>
    <w:rsid w:val="00622B73"/>
    <w:rsid w:val="0063041D"/>
    <w:rsid w:val="00631AEA"/>
    <w:rsid w:val="00637B3D"/>
    <w:rsid w:val="00642812"/>
    <w:rsid w:val="00643972"/>
    <w:rsid w:val="00646D29"/>
    <w:rsid w:val="00647512"/>
    <w:rsid w:val="00650447"/>
    <w:rsid w:val="006546DB"/>
    <w:rsid w:val="0066265C"/>
    <w:rsid w:val="00665750"/>
    <w:rsid w:val="00673763"/>
    <w:rsid w:val="006A3BAF"/>
    <w:rsid w:val="006B1FC6"/>
    <w:rsid w:val="006B3432"/>
    <w:rsid w:val="006B5FB7"/>
    <w:rsid w:val="006C0353"/>
    <w:rsid w:val="006D37AB"/>
    <w:rsid w:val="006E21BB"/>
    <w:rsid w:val="006E4971"/>
    <w:rsid w:val="006E640E"/>
    <w:rsid w:val="006E6460"/>
    <w:rsid w:val="006F1468"/>
    <w:rsid w:val="006F1E8E"/>
    <w:rsid w:val="006F245E"/>
    <w:rsid w:val="006F2FE4"/>
    <w:rsid w:val="006F6992"/>
    <w:rsid w:val="006F71B2"/>
    <w:rsid w:val="0070108F"/>
    <w:rsid w:val="00702594"/>
    <w:rsid w:val="007051F3"/>
    <w:rsid w:val="00705B8C"/>
    <w:rsid w:val="00710598"/>
    <w:rsid w:val="007108F7"/>
    <w:rsid w:val="00710B71"/>
    <w:rsid w:val="0071271E"/>
    <w:rsid w:val="007139E1"/>
    <w:rsid w:val="00716EDF"/>
    <w:rsid w:val="00717660"/>
    <w:rsid w:val="00725EDA"/>
    <w:rsid w:val="00727D52"/>
    <w:rsid w:val="00735C3C"/>
    <w:rsid w:val="00740199"/>
    <w:rsid w:val="00742C88"/>
    <w:rsid w:val="00744560"/>
    <w:rsid w:val="00745CC1"/>
    <w:rsid w:val="007501E6"/>
    <w:rsid w:val="007538E5"/>
    <w:rsid w:val="0075425E"/>
    <w:rsid w:val="007552C1"/>
    <w:rsid w:val="0075716F"/>
    <w:rsid w:val="00764A29"/>
    <w:rsid w:val="007762E3"/>
    <w:rsid w:val="00776BA0"/>
    <w:rsid w:val="007779BD"/>
    <w:rsid w:val="007813A1"/>
    <w:rsid w:val="0078575C"/>
    <w:rsid w:val="007871BA"/>
    <w:rsid w:val="007900CD"/>
    <w:rsid w:val="00797D8D"/>
    <w:rsid w:val="007A1FB4"/>
    <w:rsid w:val="007A564F"/>
    <w:rsid w:val="007A5673"/>
    <w:rsid w:val="007B136D"/>
    <w:rsid w:val="007B36B2"/>
    <w:rsid w:val="007B7E94"/>
    <w:rsid w:val="007C3D2C"/>
    <w:rsid w:val="007D26CD"/>
    <w:rsid w:val="007D5D89"/>
    <w:rsid w:val="007D76CD"/>
    <w:rsid w:val="007E01E3"/>
    <w:rsid w:val="007F1764"/>
    <w:rsid w:val="007F2DC5"/>
    <w:rsid w:val="007F3CC6"/>
    <w:rsid w:val="007F4264"/>
    <w:rsid w:val="007F601B"/>
    <w:rsid w:val="008015A7"/>
    <w:rsid w:val="00801E12"/>
    <w:rsid w:val="00806368"/>
    <w:rsid w:val="00806E9E"/>
    <w:rsid w:val="008074E0"/>
    <w:rsid w:val="00807C72"/>
    <w:rsid w:val="00810113"/>
    <w:rsid w:val="00813E78"/>
    <w:rsid w:val="0081449B"/>
    <w:rsid w:val="00826D35"/>
    <w:rsid w:val="00832521"/>
    <w:rsid w:val="0083270F"/>
    <w:rsid w:val="0083381C"/>
    <w:rsid w:val="008370D2"/>
    <w:rsid w:val="00837514"/>
    <w:rsid w:val="00837D9E"/>
    <w:rsid w:val="0084341B"/>
    <w:rsid w:val="008468A3"/>
    <w:rsid w:val="008479AE"/>
    <w:rsid w:val="00871E9C"/>
    <w:rsid w:val="00880060"/>
    <w:rsid w:val="00880BD7"/>
    <w:rsid w:val="008931BB"/>
    <w:rsid w:val="008A7D3F"/>
    <w:rsid w:val="008B1DBE"/>
    <w:rsid w:val="008B34E6"/>
    <w:rsid w:val="008B4315"/>
    <w:rsid w:val="008C3009"/>
    <w:rsid w:val="008D0343"/>
    <w:rsid w:val="008D03A4"/>
    <w:rsid w:val="008D06EC"/>
    <w:rsid w:val="008D12CE"/>
    <w:rsid w:val="008D423A"/>
    <w:rsid w:val="008D4510"/>
    <w:rsid w:val="008D7FE4"/>
    <w:rsid w:val="008E044F"/>
    <w:rsid w:val="008E2A0F"/>
    <w:rsid w:val="008E39BF"/>
    <w:rsid w:val="008E50C6"/>
    <w:rsid w:val="00900CEF"/>
    <w:rsid w:val="00905AD3"/>
    <w:rsid w:val="00907E2E"/>
    <w:rsid w:val="00913744"/>
    <w:rsid w:val="00915089"/>
    <w:rsid w:val="00917350"/>
    <w:rsid w:val="00922DC7"/>
    <w:rsid w:val="00923AB9"/>
    <w:rsid w:val="00924EDC"/>
    <w:rsid w:val="00935B2C"/>
    <w:rsid w:val="00950BEE"/>
    <w:rsid w:val="009516A6"/>
    <w:rsid w:val="00953FF2"/>
    <w:rsid w:val="00961E17"/>
    <w:rsid w:val="00966254"/>
    <w:rsid w:val="00966D94"/>
    <w:rsid w:val="0096741D"/>
    <w:rsid w:val="009710BB"/>
    <w:rsid w:val="00971147"/>
    <w:rsid w:val="00973D17"/>
    <w:rsid w:val="00973F87"/>
    <w:rsid w:val="00996141"/>
    <w:rsid w:val="009A32B2"/>
    <w:rsid w:val="009A3578"/>
    <w:rsid w:val="009A3EB5"/>
    <w:rsid w:val="009A72AF"/>
    <w:rsid w:val="009B225D"/>
    <w:rsid w:val="009D2514"/>
    <w:rsid w:val="009D7A55"/>
    <w:rsid w:val="009E2EC2"/>
    <w:rsid w:val="009F27A5"/>
    <w:rsid w:val="009F50ED"/>
    <w:rsid w:val="009F5755"/>
    <w:rsid w:val="009F5B09"/>
    <w:rsid w:val="00A00C1C"/>
    <w:rsid w:val="00A06340"/>
    <w:rsid w:val="00A139EF"/>
    <w:rsid w:val="00A162BB"/>
    <w:rsid w:val="00A2437A"/>
    <w:rsid w:val="00A24B55"/>
    <w:rsid w:val="00A24BA2"/>
    <w:rsid w:val="00A25C49"/>
    <w:rsid w:val="00A27C94"/>
    <w:rsid w:val="00A306DF"/>
    <w:rsid w:val="00A317AB"/>
    <w:rsid w:val="00A321B2"/>
    <w:rsid w:val="00A35255"/>
    <w:rsid w:val="00A3552A"/>
    <w:rsid w:val="00A44307"/>
    <w:rsid w:val="00A450BA"/>
    <w:rsid w:val="00A45839"/>
    <w:rsid w:val="00A45B6A"/>
    <w:rsid w:val="00A464C8"/>
    <w:rsid w:val="00A5244D"/>
    <w:rsid w:val="00A6098F"/>
    <w:rsid w:val="00A61A72"/>
    <w:rsid w:val="00A62F3C"/>
    <w:rsid w:val="00A64A1C"/>
    <w:rsid w:val="00A65EF5"/>
    <w:rsid w:val="00A7469A"/>
    <w:rsid w:val="00A81521"/>
    <w:rsid w:val="00A81CF7"/>
    <w:rsid w:val="00A87F91"/>
    <w:rsid w:val="00A90EFA"/>
    <w:rsid w:val="00A93426"/>
    <w:rsid w:val="00A93543"/>
    <w:rsid w:val="00A93D39"/>
    <w:rsid w:val="00A951B3"/>
    <w:rsid w:val="00A953E4"/>
    <w:rsid w:val="00AA01CF"/>
    <w:rsid w:val="00AA0491"/>
    <w:rsid w:val="00AA3DED"/>
    <w:rsid w:val="00AB18B7"/>
    <w:rsid w:val="00AB2D8E"/>
    <w:rsid w:val="00AB3D9A"/>
    <w:rsid w:val="00AC1B12"/>
    <w:rsid w:val="00AC64CC"/>
    <w:rsid w:val="00AE0690"/>
    <w:rsid w:val="00AE1B28"/>
    <w:rsid w:val="00AE37E4"/>
    <w:rsid w:val="00AE44F0"/>
    <w:rsid w:val="00AE4E72"/>
    <w:rsid w:val="00AF0AAC"/>
    <w:rsid w:val="00AF20FC"/>
    <w:rsid w:val="00AF5F4B"/>
    <w:rsid w:val="00B00381"/>
    <w:rsid w:val="00B01A19"/>
    <w:rsid w:val="00B03178"/>
    <w:rsid w:val="00B03FF4"/>
    <w:rsid w:val="00B067AC"/>
    <w:rsid w:val="00B1485F"/>
    <w:rsid w:val="00B17F79"/>
    <w:rsid w:val="00B22D2F"/>
    <w:rsid w:val="00B2432F"/>
    <w:rsid w:val="00B3007B"/>
    <w:rsid w:val="00B30901"/>
    <w:rsid w:val="00B42C71"/>
    <w:rsid w:val="00B43D52"/>
    <w:rsid w:val="00B44319"/>
    <w:rsid w:val="00B44A8E"/>
    <w:rsid w:val="00B4730A"/>
    <w:rsid w:val="00B52D82"/>
    <w:rsid w:val="00B56F05"/>
    <w:rsid w:val="00B64B25"/>
    <w:rsid w:val="00B742AF"/>
    <w:rsid w:val="00B808D0"/>
    <w:rsid w:val="00B81C92"/>
    <w:rsid w:val="00B823F5"/>
    <w:rsid w:val="00B86337"/>
    <w:rsid w:val="00B865D4"/>
    <w:rsid w:val="00B9015E"/>
    <w:rsid w:val="00B96692"/>
    <w:rsid w:val="00BA0653"/>
    <w:rsid w:val="00BA2FF3"/>
    <w:rsid w:val="00BA48A7"/>
    <w:rsid w:val="00BA6C79"/>
    <w:rsid w:val="00BA7015"/>
    <w:rsid w:val="00BB0576"/>
    <w:rsid w:val="00BB4221"/>
    <w:rsid w:val="00BB6FEA"/>
    <w:rsid w:val="00BC2838"/>
    <w:rsid w:val="00BC3449"/>
    <w:rsid w:val="00BC5760"/>
    <w:rsid w:val="00BD009A"/>
    <w:rsid w:val="00BD0F88"/>
    <w:rsid w:val="00BD7FBE"/>
    <w:rsid w:val="00BE06EE"/>
    <w:rsid w:val="00BE7F7B"/>
    <w:rsid w:val="00BF2347"/>
    <w:rsid w:val="00BF56EB"/>
    <w:rsid w:val="00C02ECD"/>
    <w:rsid w:val="00C12373"/>
    <w:rsid w:val="00C15A12"/>
    <w:rsid w:val="00C16280"/>
    <w:rsid w:val="00C2352A"/>
    <w:rsid w:val="00C31D65"/>
    <w:rsid w:val="00C35120"/>
    <w:rsid w:val="00C35BBF"/>
    <w:rsid w:val="00C54CE3"/>
    <w:rsid w:val="00C571E3"/>
    <w:rsid w:val="00C7081B"/>
    <w:rsid w:val="00C74451"/>
    <w:rsid w:val="00C75006"/>
    <w:rsid w:val="00C84247"/>
    <w:rsid w:val="00C8438C"/>
    <w:rsid w:val="00C869C7"/>
    <w:rsid w:val="00C8706E"/>
    <w:rsid w:val="00C90291"/>
    <w:rsid w:val="00C9583B"/>
    <w:rsid w:val="00CA7359"/>
    <w:rsid w:val="00CB0F79"/>
    <w:rsid w:val="00CB17A7"/>
    <w:rsid w:val="00CB6F24"/>
    <w:rsid w:val="00CC5380"/>
    <w:rsid w:val="00CC795B"/>
    <w:rsid w:val="00CD759E"/>
    <w:rsid w:val="00CD7AD8"/>
    <w:rsid w:val="00CE6874"/>
    <w:rsid w:val="00CF109A"/>
    <w:rsid w:val="00CF1404"/>
    <w:rsid w:val="00CF5D88"/>
    <w:rsid w:val="00CF5DB7"/>
    <w:rsid w:val="00D00C55"/>
    <w:rsid w:val="00D0175C"/>
    <w:rsid w:val="00D07DCC"/>
    <w:rsid w:val="00D14706"/>
    <w:rsid w:val="00D15FB7"/>
    <w:rsid w:val="00D239B5"/>
    <w:rsid w:val="00D247A3"/>
    <w:rsid w:val="00D337E1"/>
    <w:rsid w:val="00D33FE9"/>
    <w:rsid w:val="00D440D0"/>
    <w:rsid w:val="00D503DD"/>
    <w:rsid w:val="00D60880"/>
    <w:rsid w:val="00D62463"/>
    <w:rsid w:val="00D6410A"/>
    <w:rsid w:val="00D650B6"/>
    <w:rsid w:val="00D708DE"/>
    <w:rsid w:val="00D75BB2"/>
    <w:rsid w:val="00D75D96"/>
    <w:rsid w:val="00D7617A"/>
    <w:rsid w:val="00D77314"/>
    <w:rsid w:val="00D807E7"/>
    <w:rsid w:val="00D8626C"/>
    <w:rsid w:val="00D90DAB"/>
    <w:rsid w:val="00DA113D"/>
    <w:rsid w:val="00DA4565"/>
    <w:rsid w:val="00DA5EB4"/>
    <w:rsid w:val="00DA6158"/>
    <w:rsid w:val="00DA6B3B"/>
    <w:rsid w:val="00DB038F"/>
    <w:rsid w:val="00DB039D"/>
    <w:rsid w:val="00DB1761"/>
    <w:rsid w:val="00DB4FA8"/>
    <w:rsid w:val="00DC07B6"/>
    <w:rsid w:val="00DC2EB6"/>
    <w:rsid w:val="00DC30B4"/>
    <w:rsid w:val="00DD2AC9"/>
    <w:rsid w:val="00DE3D2A"/>
    <w:rsid w:val="00DF13B1"/>
    <w:rsid w:val="00DF6A52"/>
    <w:rsid w:val="00E00B09"/>
    <w:rsid w:val="00E064A3"/>
    <w:rsid w:val="00E147AA"/>
    <w:rsid w:val="00E15383"/>
    <w:rsid w:val="00E155C4"/>
    <w:rsid w:val="00E15E4E"/>
    <w:rsid w:val="00E21A85"/>
    <w:rsid w:val="00E2367E"/>
    <w:rsid w:val="00E32FFC"/>
    <w:rsid w:val="00E330FF"/>
    <w:rsid w:val="00E34734"/>
    <w:rsid w:val="00E4099D"/>
    <w:rsid w:val="00E412AD"/>
    <w:rsid w:val="00E43B45"/>
    <w:rsid w:val="00E4560A"/>
    <w:rsid w:val="00E5148E"/>
    <w:rsid w:val="00E516DE"/>
    <w:rsid w:val="00E54650"/>
    <w:rsid w:val="00E55CBB"/>
    <w:rsid w:val="00E65D13"/>
    <w:rsid w:val="00E71FFA"/>
    <w:rsid w:val="00E83871"/>
    <w:rsid w:val="00E83EA4"/>
    <w:rsid w:val="00E86079"/>
    <w:rsid w:val="00E9381E"/>
    <w:rsid w:val="00E93CC8"/>
    <w:rsid w:val="00EA357A"/>
    <w:rsid w:val="00EA3A8B"/>
    <w:rsid w:val="00EE3F2C"/>
    <w:rsid w:val="00EE6F9E"/>
    <w:rsid w:val="00EF0E0A"/>
    <w:rsid w:val="00EF1A18"/>
    <w:rsid w:val="00EF70D2"/>
    <w:rsid w:val="00EF798C"/>
    <w:rsid w:val="00F014A0"/>
    <w:rsid w:val="00F027AF"/>
    <w:rsid w:val="00F12059"/>
    <w:rsid w:val="00F17151"/>
    <w:rsid w:val="00F40F05"/>
    <w:rsid w:val="00F4146E"/>
    <w:rsid w:val="00F50B92"/>
    <w:rsid w:val="00F6401F"/>
    <w:rsid w:val="00F67395"/>
    <w:rsid w:val="00F7144E"/>
    <w:rsid w:val="00F75932"/>
    <w:rsid w:val="00F75C9F"/>
    <w:rsid w:val="00F81AAD"/>
    <w:rsid w:val="00F81FE7"/>
    <w:rsid w:val="00F84BA3"/>
    <w:rsid w:val="00F93F71"/>
    <w:rsid w:val="00FA1CB1"/>
    <w:rsid w:val="00FA6F22"/>
    <w:rsid w:val="00FA78A3"/>
    <w:rsid w:val="00FB19F8"/>
    <w:rsid w:val="00FB3195"/>
    <w:rsid w:val="00FB7AEA"/>
    <w:rsid w:val="00FD0775"/>
    <w:rsid w:val="00FD343C"/>
    <w:rsid w:val="00FD510C"/>
    <w:rsid w:val="00FD6720"/>
    <w:rsid w:val="00FE05A6"/>
    <w:rsid w:val="1A3172E8"/>
    <w:rsid w:val="1B752730"/>
    <w:rsid w:val="2AE33D8C"/>
    <w:rsid w:val="3462981B"/>
    <w:rsid w:val="43ED9336"/>
    <w:rsid w:val="457ADE32"/>
    <w:rsid w:val="5074075E"/>
    <w:rsid w:val="691288E1"/>
    <w:rsid w:val="7314E0D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57737"/>
  <w15:chartTrackingRefBased/>
  <w15:docId w15:val="{2DC7140B-5BBE-48F1-9C18-3DD5E3C4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D39"/>
  </w:style>
  <w:style w:type="paragraph" w:styleId="Rubrik1">
    <w:name w:val="heading 1"/>
    <w:basedOn w:val="Normal"/>
    <w:next w:val="Normal"/>
    <w:link w:val="Rubrik1Char"/>
    <w:uiPriority w:val="9"/>
    <w:qFormat/>
    <w:rsid w:val="000562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0562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9F5B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unhideWhenUsed/>
    <w:qFormat/>
    <w:rsid w:val="00DF6A5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Rubrik6">
    <w:name w:val="heading 6"/>
    <w:basedOn w:val="Normal"/>
    <w:next w:val="Normal"/>
    <w:link w:val="Rubrik6Char"/>
    <w:uiPriority w:val="9"/>
    <w:unhideWhenUsed/>
    <w:qFormat/>
    <w:rsid w:val="00622B7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D06EC"/>
    <w:pPr>
      <w:ind w:left="720"/>
      <w:contextualSpacing/>
    </w:pPr>
  </w:style>
  <w:style w:type="table" w:styleId="Tabellrutnt">
    <w:name w:val="Table Grid"/>
    <w:basedOn w:val="Normaltabell"/>
    <w:uiPriority w:val="39"/>
    <w:rsid w:val="00646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24EDC"/>
    <w:rPr>
      <w:sz w:val="16"/>
      <w:szCs w:val="16"/>
    </w:rPr>
  </w:style>
  <w:style w:type="paragraph" w:styleId="Kommentarer">
    <w:name w:val="annotation text"/>
    <w:basedOn w:val="Normal"/>
    <w:link w:val="KommentarerChar"/>
    <w:uiPriority w:val="99"/>
    <w:unhideWhenUsed/>
    <w:rsid w:val="00924EDC"/>
    <w:pPr>
      <w:spacing w:after="0" w:line="240" w:lineRule="auto"/>
    </w:pPr>
    <w:rPr>
      <w:rFonts w:ascii="Times New Roman" w:eastAsia="Times New Roman" w:hAnsi="Times New Roman" w:cs="Times New Roman"/>
      <w:kern w:val="0"/>
      <w:sz w:val="20"/>
      <w:szCs w:val="20"/>
      <w:lang w:eastAsia="sv-SE"/>
      <w14:ligatures w14:val="none"/>
    </w:rPr>
  </w:style>
  <w:style w:type="character" w:customStyle="1" w:styleId="KommentarerChar">
    <w:name w:val="Kommentarer Char"/>
    <w:basedOn w:val="Standardstycketeckensnitt"/>
    <w:link w:val="Kommentarer"/>
    <w:uiPriority w:val="99"/>
    <w:rsid w:val="00924EDC"/>
    <w:rPr>
      <w:rFonts w:ascii="Times New Roman" w:eastAsia="Times New Roman" w:hAnsi="Times New Roman" w:cs="Times New Roman"/>
      <w:kern w:val="0"/>
      <w:sz w:val="20"/>
      <w:szCs w:val="20"/>
      <w:lang w:eastAsia="sv-SE"/>
      <w14:ligatures w14:val="none"/>
    </w:rPr>
  </w:style>
  <w:style w:type="paragraph" w:styleId="Kommentarsmne">
    <w:name w:val="annotation subject"/>
    <w:basedOn w:val="Kommentarer"/>
    <w:next w:val="Kommentarer"/>
    <w:link w:val="KommentarsmneChar"/>
    <w:uiPriority w:val="99"/>
    <w:semiHidden/>
    <w:unhideWhenUsed/>
    <w:rsid w:val="00924EDC"/>
    <w:pPr>
      <w:spacing w:after="160"/>
    </w:pPr>
    <w:rPr>
      <w:rFonts w:asciiTheme="minorHAnsi" w:eastAsiaTheme="minorHAnsi" w:hAnsiTheme="minorHAnsi" w:cstheme="minorBidi"/>
      <w:b/>
      <w:bCs/>
      <w:kern w:val="2"/>
      <w:lang w:eastAsia="en-US"/>
      <w14:ligatures w14:val="standardContextual"/>
    </w:rPr>
  </w:style>
  <w:style w:type="character" w:customStyle="1" w:styleId="KommentarsmneChar">
    <w:name w:val="Kommentarsämne Char"/>
    <w:basedOn w:val="KommentarerChar"/>
    <w:link w:val="Kommentarsmne"/>
    <w:uiPriority w:val="99"/>
    <w:semiHidden/>
    <w:rsid w:val="00924EDC"/>
    <w:rPr>
      <w:rFonts w:ascii="Times New Roman" w:eastAsia="Times New Roman" w:hAnsi="Times New Roman" w:cs="Times New Roman"/>
      <w:b/>
      <w:bCs/>
      <w:kern w:val="0"/>
      <w:sz w:val="20"/>
      <w:szCs w:val="20"/>
      <w:lang w:eastAsia="sv-SE"/>
      <w14:ligatures w14:val="none"/>
    </w:rPr>
  </w:style>
  <w:style w:type="paragraph" w:styleId="Sidhuvud">
    <w:name w:val="header"/>
    <w:basedOn w:val="Normal"/>
    <w:link w:val="SidhuvudChar"/>
    <w:uiPriority w:val="99"/>
    <w:unhideWhenUsed/>
    <w:rsid w:val="0031228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1228F"/>
  </w:style>
  <w:style w:type="paragraph" w:styleId="Sidfot">
    <w:name w:val="footer"/>
    <w:basedOn w:val="Normal"/>
    <w:link w:val="SidfotChar"/>
    <w:uiPriority w:val="99"/>
    <w:unhideWhenUsed/>
    <w:rsid w:val="0031228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1228F"/>
  </w:style>
  <w:style w:type="paragraph" w:styleId="Revision">
    <w:name w:val="Revision"/>
    <w:hidden/>
    <w:uiPriority w:val="99"/>
    <w:semiHidden/>
    <w:rsid w:val="00361ADA"/>
    <w:pPr>
      <w:spacing w:after="0" w:line="240" w:lineRule="auto"/>
    </w:pPr>
  </w:style>
  <w:style w:type="character" w:customStyle="1" w:styleId="cf01">
    <w:name w:val="cf01"/>
    <w:basedOn w:val="Standardstycketeckensnitt"/>
    <w:rsid w:val="0012448A"/>
    <w:rPr>
      <w:rFonts w:ascii="Segoe UI" w:hAnsi="Segoe UI" w:cs="Segoe UI" w:hint="default"/>
      <w:sz w:val="18"/>
      <w:szCs w:val="18"/>
    </w:rPr>
  </w:style>
  <w:style w:type="paragraph" w:styleId="Underrubrik">
    <w:name w:val="Subtitle"/>
    <w:basedOn w:val="Normal"/>
    <w:next w:val="Normal"/>
    <w:link w:val="UnderrubrikChar"/>
    <w:uiPriority w:val="11"/>
    <w:qFormat/>
    <w:rsid w:val="00056295"/>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056295"/>
    <w:rPr>
      <w:rFonts w:eastAsiaTheme="minorEastAsia"/>
      <w:color w:val="5A5A5A" w:themeColor="text1" w:themeTint="A5"/>
      <w:spacing w:val="15"/>
    </w:rPr>
  </w:style>
  <w:style w:type="character" w:customStyle="1" w:styleId="Rubrik2Char">
    <w:name w:val="Rubrik 2 Char"/>
    <w:basedOn w:val="Standardstycketeckensnitt"/>
    <w:link w:val="Rubrik2"/>
    <w:uiPriority w:val="9"/>
    <w:rsid w:val="00056295"/>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sid w:val="00056295"/>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rsid w:val="009F5B09"/>
    <w:rPr>
      <w:rFonts w:asciiTheme="majorHAnsi" w:eastAsiaTheme="majorEastAsia" w:hAnsiTheme="majorHAnsi" w:cstheme="majorBidi"/>
      <w:color w:val="1F3763" w:themeColor="accent1" w:themeShade="7F"/>
      <w:sz w:val="24"/>
      <w:szCs w:val="24"/>
    </w:rPr>
  </w:style>
  <w:style w:type="paragraph" w:styleId="Rubrik">
    <w:name w:val="Title"/>
    <w:basedOn w:val="Normal"/>
    <w:next w:val="Normal"/>
    <w:link w:val="RubrikChar"/>
    <w:uiPriority w:val="10"/>
    <w:qFormat/>
    <w:rsid w:val="009F5B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F5B09"/>
    <w:rPr>
      <w:rFonts w:asciiTheme="majorHAnsi" w:eastAsiaTheme="majorEastAsia" w:hAnsiTheme="majorHAnsi" w:cstheme="majorBidi"/>
      <w:spacing w:val="-10"/>
      <w:kern w:val="28"/>
      <w:sz w:val="56"/>
      <w:szCs w:val="56"/>
    </w:rPr>
  </w:style>
  <w:style w:type="character" w:customStyle="1" w:styleId="Rubrik4Char">
    <w:name w:val="Rubrik 4 Char"/>
    <w:basedOn w:val="Standardstycketeckensnitt"/>
    <w:link w:val="Rubrik4"/>
    <w:uiPriority w:val="9"/>
    <w:rsid w:val="00DF6A52"/>
    <w:rPr>
      <w:rFonts w:asciiTheme="majorHAnsi" w:eastAsiaTheme="majorEastAsia" w:hAnsiTheme="majorHAnsi" w:cstheme="majorBidi"/>
      <w:i/>
      <w:iCs/>
      <w:color w:val="2F5496" w:themeColor="accent1" w:themeShade="BF"/>
    </w:rPr>
  </w:style>
  <w:style w:type="character" w:customStyle="1" w:styleId="Rubrik6Char">
    <w:name w:val="Rubrik 6 Char"/>
    <w:basedOn w:val="Standardstycketeckensnitt"/>
    <w:link w:val="Rubrik6"/>
    <w:uiPriority w:val="9"/>
    <w:rsid w:val="00622B73"/>
    <w:rPr>
      <w:rFonts w:asciiTheme="majorHAnsi" w:eastAsiaTheme="majorEastAsia" w:hAnsiTheme="majorHAnsi" w:cstheme="majorBidi"/>
      <w:color w:val="1F3763" w:themeColor="accent1" w:themeShade="7F"/>
    </w:rPr>
  </w:style>
  <w:style w:type="table" w:styleId="Oformateradtabell3">
    <w:name w:val="Plain Table 3"/>
    <w:basedOn w:val="Normaltabell"/>
    <w:uiPriority w:val="43"/>
    <w:rsid w:val="0026366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nk">
    <w:name w:val="Hyperlink"/>
    <w:basedOn w:val="Standardstycketeckensnitt"/>
    <w:uiPriority w:val="99"/>
    <w:unhideWhenUsed/>
    <w:rsid w:val="00D6410A"/>
    <w:rPr>
      <w:color w:val="0563C1" w:themeColor="hyperlink"/>
      <w:u w:val="single"/>
    </w:rPr>
  </w:style>
  <w:style w:type="character" w:styleId="Olstomnmnande">
    <w:name w:val="Unresolved Mention"/>
    <w:basedOn w:val="Standardstycketeckensnitt"/>
    <w:uiPriority w:val="99"/>
    <w:semiHidden/>
    <w:unhideWhenUsed/>
    <w:rsid w:val="00D6410A"/>
    <w:rPr>
      <w:color w:val="605E5C"/>
      <w:shd w:val="clear" w:color="auto" w:fill="E1DFDD"/>
    </w:rPr>
  </w:style>
  <w:style w:type="paragraph" w:styleId="Normalwebb">
    <w:name w:val="Normal (Web)"/>
    <w:basedOn w:val="Normal"/>
    <w:uiPriority w:val="99"/>
    <w:semiHidden/>
    <w:unhideWhenUsed/>
    <w:rsid w:val="007F2D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9DA91286D20F4A9E34AA943880C5D0" ma:contentTypeVersion="4" ma:contentTypeDescription="Create a new document." ma:contentTypeScope="" ma:versionID="2c956eca89119781c14af97d2ccb6319">
  <xsd:schema xmlns:xsd="http://www.w3.org/2001/XMLSchema" xmlns:xs="http://www.w3.org/2001/XMLSchema" xmlns:p="http://schemas.microsoft.com/office/2006/metadata/properties" xmlns:ns2="6dface73-6888-46e4-92a7-78555ada5dfc" targetNamespace="http://schemas.microsoft.com/office/2006/metadata/properties" ma:root="true" ma:fieldsID="a96e5a8cabd904a772d0b81d2a0b114d" ns2:_="">
    <xsd:import namespace="6dface73-6888-46e4-92a7-78555ada5d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ace73-6888-46e4-92a7-78555ada5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D0FD6-F0A5-4C5A-9431-2D4C5F767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ace73-6888-46e4-92a7-78555ada5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AF600A-3804-47C1-AB63-2CF6F84A9E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28C71-5F3C-4FA2-B810-1B6D06FE5644}">
  <ds:schemaRefs>
    <ds:schemaRef ds:uri="http://schemas.microsoft.com/sharepoint/v3/contenttype/forms"/>
  </ds:schemaRefs>
</ds:datastoreItem>
</file>

<file path=customXml/itemProps4.xml><?xml version="1.0" encoding="utf-8"?>
<ds:datastoreItem xmlns:ds="http://schemas.openxmlformats.org/officeDocument/2006/customXml" ds:itemID="{7BCB1551-2C6B-4F65-A0FB-63141A683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1420</Words>
  <Characters>7527</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Häggqvist</dc:creator>
  <cp:keywords/>
  <dc:description/>
  <cp:lastModifiedBy>Annika Israelsson</cp:lastModifiedBy>
  <cp:revision>4</cp:revision>
  <dcterms:created xsi:type="dcterms:W3CDTF">2026-05-06T13:23:00Z</dcterms:created>
  <dcterms:modified xsi:type="dcterms:W3CDTF">2026-05-07T08:46:00Z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0x010100689DA91286D20F4A9E34AA943880C5D0</vt:lpwstr>
  </property>
</Properties>
</file>